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F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687209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jc w:val="center"/>
        <w:textAlignment w:val="baseline"/>
        <w:rPr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lang w:val="en-US" w:eastAsia="zh-CN" w:bidi="ar-SA"/>
        </w:rPr>
        <w:t>常州大学商学院学生素质综合测评体系</w:t>
      </w:r>
    </w:p>
    <w:p w14:paraId="66A9E44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jc w:val="center"/>
        <w:textAlignment w:val="baseline"/>
        <w:rPr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napToGrid/>
          <w:kern w:val="2"/>
          <w:sz w:val="32"/>
          <w:szCs w:val="32"/>
          <w:lang w:val="en-US" w:eastAsia="zh-CN" w:bidi="ar-SA"/>
        </w:rPr>
        <w:t>实施细则（试行）</w:t>
      </w:r>
    </w:p>
    <w:p w14:paraId="3E3F4EA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after="0" w:afterLines="50"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</w:rPr>
        <w:t>第一章</w:t>
      </w: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2"/>
          <w:sz w:val="32"/>
          <w:szCs w:val="32"/>
        </w:rPr>
        <w:t>总则</w:t>
      </w:r>
    </w:p>
    <w:p w14:paraId="69D254C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left="1" w:right="97" w:firstLine="41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第一条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依据《常州大学学生素质综合测评体系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实施暂行办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法》(试行)（以下简称《暂行办法》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结合我院实际，制定本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实施细则。</w:t>
      </w:r>
    </w:p>
    <w:p w14:paraId="506C0FE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560" w:lineRule="exact"/>
        <w:ind w:right="28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第二条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学生素质综合测评的内容包括德育素质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得分、基础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性素质得分、发展性素质得分三个方面。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德育素质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得分主要评估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学生的政治表现、道德修养、遵纪守法、学习态度、身心健康等。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基础素质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得分主要评估学生的专业学习成绩及体育学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习成绩。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发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展性素质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得分由创新创业能力、社会工作能力、文体活动能力、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操作技能、其他表彰奖励加分和其他处罚减分等方面组成。</w:t>
      </w:r>
    </w:p>
    <w:p w14:paraId="2899ACA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1" w:right="100" w:firstLine="41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第三条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综合测评每学年进行一次，每学年开学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初，对上一学年的学生综合素质要公平、公正、公开地进行测评。测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评年</w:t>
      </w:r>
      <w:r>
        <w:rPr>
          <w:rFonts w:hint="eastAsia" w:ascii="仿宋" w:hAnsi="仿宋" w:eastAsia="仿宋" w:cs="仿宋"/>
          <w:spacing w:val="4"/>
          <w:sz w:val="32"/>
          <w:szCs w:val="32"/>
        </w:rPr>
        <w:t>9月开展的综合测评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加分材料时间范围为：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测评年的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上一年9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月1日—测评年的8月31日。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各年级辅导员根据本年级实际自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行规定材料收集截止时间，并且通告本年级学生。各年级按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照学院要求，及时、准确上报综测结果。</w:t>
      </w:r>
    </w:p>
    <w:p w14:paraId="525FA38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after="0" w:afterLines="50" w:line="560" w:lineRule="exact"/>
        <w:ind w:left="6" w:right="28" w:firstLine="41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第四条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学生素质综合测评的结果，将作为学生评奖</w:t>
      </w:r>
      <w:r>
        <w:rPr>
          <w:rFonts w:hint="eastAsia" w:ascii="仿宋" w:hAnsi="仿宋" w:eastAsia="仿宋" w:cs="仿宋"/>
          <w:spacing w:val="4"/>
          <w:sz w:val="32"/>
          <w:szCs w:val="32"/>
        </w:rPr>
        <w:t>、评优、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学业鉴定的重要依据。</w:t>
      </w:r>
    </w:p>
    <w:p w14:paraId="0B6EB86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第二章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工作程序</w:t>
      </w:r>
    </w:p>
    <w:p w14:paraId="01DB504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left="3" w:firstLine="417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第五条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学生综合素质测评工作以“辅导员班主任组织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实施，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学生本人自评，基层班级评分，辅导员班主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任审核，学院复核”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为基本的工作程序。</w:t>
      </w:r>
    </w:p>
    <w:p w14:paraId="44CA42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560" w:lineRule="exact"/>
        <w:ind w:left="2" w:right="97" w:firstLine="418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第六条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学生应在新学年开学后两周内以书面形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式认真总结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上一学年中在德、智、体、美等方面的表现情况对照测评表进行自评，提交本实施办法所要求的在上一学年获得的各类证书、作品原件或提出加分、评分理由供学院审核，学院依据《常州大学学生素质综合测评体系实施暂行办法》和学院实施细则确定加分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标准。</w:t>
      </w:r>
    </w:p>
    <w:p w14:paraId="62F2C98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560" w:lineRule="exact"/>
        <w:ind w:left="1" w:right="69" w:firstLine="41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第七条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在学院统一组织下，辅导员班主任指导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下，组成班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级主要学生干部和学生代表参加的综合测评评定小组，在审查学生本人自我评价和广泛听取群众意见的基础上，依据班级学生工作记录、学习成绩表和学生日常表现以及要求的有关材料等，按本办法及学院实施细则对学生进行评定。综合测评评定小组的学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生代表不少于班级总人数的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25</w:t>
      </w:r>
      <w:r>
        <w:rPr>
          <w:rFonts w:hint="eastAsia" w:ascii="仿宋" w:hAnsi="仿宋" w:eastAsia="仿宋" w:cs="仿宋"/>
          <w:spacing w:val="9"/>
          <w:sz w:val="32"/>
          <w:szCs w:val="32"/>
        </w:rPr>
        <w:t>%。</w:t>
      </w:r>
    </w:p>
    <w:p w14:paraId="3638228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ind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第八条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凡对测评工作结果持有异议的，可在有关结果公布</w:t>
      </w:r>
      <w:r>
        <w:rPr>
          <w:rFonts w:hint="eastAsia" w:ascii="仿宋" w:hAnsi="仿宋" w:eastAsia="仿宋" w:cs="仿宋"/>
          <w:spacing w:val="8"/>
          <w:sz w:val="32"/>
          <w:szCs w:val="32"/>
        </w:rPr>
        <w:t>5日内，以书面形式向学生所在学院申诉，学生所在学院于接到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申诉的5日内组织复核并作出决定，书面通知申诉人及所在班级。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对该决定仍不服的，可在接到决定之日起15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日内向学生处申诉。</w:t>
      </w:r>
    </w:p>
    <w:p w14:paraId="0763CAF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第三章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评定依据</w:t>
      </w:r>
    </w:p>
    <w:p w14:paraId="27B5B81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right="71" w:firstLine="41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第九条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本细则中所述“成绩”均以学校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教务部门鉴定核实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的成绩为依据，课程成绩均以正常考试、考查成绩为准，作弊、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违反考场纪律和旷考记0分。</w:t>
      </w:r>
    </w:p>
    <w:p w14:paraId="46379A9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2" w:right="69" w:firstLine="418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第十条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本细则中有关“获奖”“受表彰”情况均应以该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生提交的评奖学年内的各类证书或经各学院确认后可评分、加分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为评分依据。</w:t>
      </w:r>
    </w:p>
    <w:p w14:paraId="60E97ED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ind w:left="0" w:right="68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第十一条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本细则中有关“刊物”系指国内外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正式发行、且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有正式刊号的公开出版物，并以该生提交的载有所发表论文的原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刊为评分依据。</w:t>
      </w:r>
    </w:p>
    <w:p w14:paraId="3034A62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第四章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评分方法</w:t>
      </w:r>
    </w:p>
    <w:p w14:paraId="06FD789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left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第十二条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学生素质综合测评的指标组成体系和权重</w:t>
      </w:r>
    </w:p>
    <w:p w14:paraId="502DE8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left="4" w:right="70" w:firstLine="426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1.学生素质综合测评得分=德育素质得分+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基础性素质得分+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发展性素质得分</w:t>
      </w:r>
    </w:p>
    <w:p w14:paraId="590B77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2.基础性素质得分＝智育素质测评分×80%＋体育素质测评分×20%</w:t>
      </w:r>
    </w:p>
    <w:p w14:paraId="0DA9FF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ind w:left="42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一、德育素质得分</w:t>
      </w:r>
    </w:p>
    <w:p w14:paraId="3EC1B92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60" w:lineRule="exact"/>
        <w:ind w:left="217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（一）德育素质测评分（满分100分）</w:t>
      </w:r>
    </w:p>
    <w:p w14:paraId="4F01A7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79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7263"/>
      </w:tblGrid>
      <w:tr w14:paraId="1BB42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73" w:type="dxa"/>
            <w:vAlign w:val="top"/>
          </w:tcPr>
          <w:p w14:paraId="71A814B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ind w:left="14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项目</w:t>
            </w:r>
          </w:p>
        </w:tc>
        <w:tc>
          <w:tcPr>
            <w:tcW w:w="7263" w:type="dxa"/>
            <w:vAlign w:val="top"/>
          </w:tcPr>
          <w:p w14:paraId="4B7E4A6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ind w:left="2373" w:firstLine="612" w:firstLineChars="2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内容</w:t>
            </w:r>
          </w:p>
        </w:tc>
      </w:tr>
      <w:tr w14:paraId="491AF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673" w:type="dxa"/>
            <w:vAlign w:val="top"/>
          </w:tcPr>
          <w:p w14:paraId="144CCF1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政</w:t>
            </w:r>
          </w:p>
          <w:p w14:paraId="292931B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治</w:t>
            </w:r>
          </w:p>
          <w:p w14:paraId="1FFA914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表</w:t>
            </w:r>
          </w:p>
          <w:p w14:paraId="63B349D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现</w:t>
            </w:r>
          </w:p>
        </w:tc>
        <w:tc>
          <w:tcPr>
            <w:tcW w:w="7263" w:type="dxa"/>
            <w:vAlign w:val="top"/>
          </w:tcPr>
          <w:p w14:paraId="37CA1C5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560" w:lineRule="exact"/>
              <w:ind w:left="111" w:right="106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拥护中国共产党领导，努力学习马克思列宁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主义、毛泽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东思想、中国特色社会主义理论体系，深入学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习习近平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新时代中国特色社会主义思想，坚定中国特色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社会主义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道路自信、理论自信、制度自信、文化自信，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树立中国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特色社会主义共同理想</w:t>
            </w:r>
            <w:r>
              <w:rPr>
                <w:rFonts w:hint="eastAsia" w:ascii="仿宋" w:hAnsi="仿宋" w:eastAsia="仿宋" w:cs="仿宋"/>
                <w:color w:val="444444"/>
                <w:spacing w:val="8"/>
                <w:sz w:val="32"/>
                <w:szCs w:val="32"/>
              </w:rPr>
              <w:t>。</w:t>
            </w:r>
          </w:p>
        </w:tc>
      </w:tr>
      <w:tr w14:paraId="67390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673" w:type="dxa"/>
            <w:vAlign w:val="top"/>
          </w:tcPr>
          <w:p w14:paraId="6F302AC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道</w:t>
            </w:r>
          </w:p>
          <w:p w14:paraId="7A72806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德</w:t>
            </w:r>
          </w:p>
          <w:p w14:paraId="7D1548B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修</w:t>
            </w:r>
          </w:p>
          <w:p w14:paraId="4CB91DC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养</w:t>
            </w:r>
          </w:p>
        </w:tc>
        <w:tc>
          <w:tcPr>
            <w:tcW w:w="7263" w:type="dxa"/>
            <w:vAlign w:val="top"/>
          </w:tcPr>
          <w:p w14:paraId="5913704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560" w:lineRule="exact"/>
              <w:ind w:left="111" w:right="5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树立爱国主义思想，具有团结统一、爱好和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平、勤劳勇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敢、自强不息的精神。注重思想道德修养，自觉遵守社</w:t>
            </w: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会公德，自尊自爱，尊敬师长，关心集体，团结同学，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乐于助人，诚实守信，知行统一，举止文明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，勤俭节约，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按规定交纳学费。</w:t>
            </w:r>
          </w:p>
        </w:tc>
      </w:tr>
      <w:tr w14:paraId="704E9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673" w:type="dxa"/>
            <w:vAlign w:val="top"/>
          </w:tcPr>
          <w:p w14:paraId="19B3CDC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遵</w:t>
            </w:r>
          </w:p>
          <w:p w14:paraId="702DC7D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纪</w:t>
            </w:r>
          </w:p>
          <w:p w14:paraId="36CF8AE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24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守</w:t>
            </w:r>
          </w:p>
          <w:p w14:paraId="60F8885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24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法</w:t>
            </w:r>
          </w:p>
        </w:tc>
        <w:tc>
          <w:tcPr>
            <w:tcW w:w="7263" w:type="dxa"/>
            <w:vAlign w:val="top"/>
          </w:tcPr>
          <w:p w14:paraId="4FB5D25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ind w:left="113" w:right="106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增强法治观念，遵守宪法、法律、法规，遵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守公民道德规范，遵守学校管理制度，具有良好的道德品质和行为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习惯，自觉维护公共秩序，服从管理，勇于同各种违纪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现象作斗争。</w:t>
            </w:r>
          </w:p>
        </w:tc>
      </w:tr>
      <w:tr w14:paraId="3CEE7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73" w:type="dxa"/>
            <w:vAlign w:val="top"/>
          </w:tcPr>
          <w:p w14:paraId="0AC9552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26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学</w:t>
            </w:r>
          </w:p>
          <w:p w14:paraId="179CF4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习</w:t>
            </w:r>
          </w:p>
          <w:p w14:paraId="23EDD94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态</w:t>
            </w:r>
          </w:p>
          <w:p w14:paraId="714A403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度</w:t>
            </w:r>
          </w:p>
        </w:tc>
        <w:tc>
          <w:tcPr>
            <w:tcW w:w="7263" w:type="dxa"/>
            <w:vAlign w:val="top"/>
          </w:tcPr>
          <w:p w14:paraId="2427DC7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560" w:lineRule="exact"/>
              <w:ind w:left="113" w:right="183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刻苦学习，勇于探索，积极实践，努力掌握现代科学文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化知识和专业技能。</w:t>
            </w:r>
          </w:p>
        </w:tc>
      </w:tr>
      <w:tr w14:paraId="499BD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3" w:type="dxa"/>
            <w:vAlign w:val="top"/>
          </w:tcPr>
          <w:p w14:paraId="7D837F6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身</w:t>
            </w:r>
          </w:p>
          <w:p w14:paraId="01BFE92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心</w:t>
            </w:r>
          </w:p>
          <w:p w14:paraId="739D565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健</w:t>
            </w:r>
          </w:p>
          <w:p w14:paraId="3F6C0E8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康</w:t>
            </w:r>
          </w:p>
        </w:tc>
        <w:tc>
          <w:tcPr>
            <w:tcW w:w="7263" w:type="dxa"/>
            <w:vAlign w:val="top"/>
          </w:tcPr>
          <w:p w14:paraId="488E0AE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ind w:left="113" w:right="106" w:hanging="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积极锻炼身体，增进身心健康，提高个人修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养，培养审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美情趣。</w:t>
            </w:r>
          </w:p>
        </w:tc>
      </w:tr>
    </w:tbl>
    <w:p w14:paraId="25DED1F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560" w:lineRule="exact"/>
        <w:ind w:firstLine="427"/>
        <w:jc w:val="both"/>
        <w:textAlignment w:val="baseline"/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1.德育素质得分（满分100分）=德育基础分（80分）+德育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发展分（15分）+其他加分（5分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德育基础分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和德育发展分分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别从政治表现、道德修养、遵纪守法、学习态度、身心健康等五</w:t>
      </w:r>
      <w:r>
        <w:rPr>
          <w:rFonts w:hint="eastAsia" w:ascii="仿宋" w:hAnsi="仿宋" w:eastAsia="仿宋" w:cs="仿宋"/>
          <w:spacing w:val="4"/>
          <w:sz w:val="32"/>
          <w:szCs w:val="32"/>
        </w:rPr>
        <w:t>项对学生进行考察，其中每项基础分16分，发展分3分，其他加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分满分5分，具体见附表1《常州大学商学院学生德育素质测评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参考表》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。</w:t>
      </w:r>
    </w:p>
    <w:p w14:paraId="37BC0F8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ind w:left="42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2.德育素质测评分由综合测评评定小组为全班学生打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分。</w:t>
      </w:r>
    </w:p>
    <w:p w14:paraId="681A2D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right="71" w:firstLine="423"/>
        <w:jc w:val="both"/>
        <w:textAlignment w:val="baseline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3.辅导员或班主任可根据学生本人在校日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常学习、生活中的表现提出附加分建议，但分值不超过2分。德育素质测评总分不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超过100分。</w:t>
      </w:r>
    </w:p>
    <w:p w14:paraId="3024B94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4.德育素质测评加分项细则：</w:t>
      </w:r>
    </w:p>
    <w:p w14:paraId="43316C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60" w:lineRule="exact"/>
        <w:ind w:left="43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（1）志愿者服务活动加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分规则</w:t>
      </w:r>
    </w:p>
    <w:p w14:paraId="110C611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42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所有参与综测评定的志愿服务必须从学校或学院报名参加，个人在校外参加的志愿服务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eastAsia="zh-CN"/>
        </w:rPr>
        <w:t>需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受表彰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eastAsia="zh-CN"/>
        </w:rPr>
        <w:t>，受表彰证明的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盖章落款须为区级政府及以上，村委会、私人企业、其他社会机构等不予认定。</w:t>
      </w:r>
    </w:p>
    <w:p w14:paraId="5E5F952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right="71" w:firstLine="422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学生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eastAsia="zh-CN"/>
        </w:rPr>
        <w:t>参与综测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志愿服务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eastAsia="zh-CN"/>
        </w:rPr>
        <w:t>的评定证明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须有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eastAsia="zh-CN"/>
        </w:rPr>
        <w:t>负责人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val="en-US" w:eastAsia="zh-CN"/>
        </w:rPr>
        <w:t>签名且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加盖红章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参加同一活动的不同赛道、级别等视为一个志愿活动，1次加0.1分，以此类推。</w:t>
      </w:r>
    </w:p>
    <w:p w14:paraId="084034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right="71" w:firstLine="422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  <w:lang w:val="en-US" w:eastAsia="zh-CN"/>
        </w:rPr>
        <w:t>所有参与综测评定的志愿服务一律按照次数认定，党团推优则一律按照时长认定。</w:t>
      </w:r>
    </w:p>
    <w:p w14:paraId="278E18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31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（2）暑期社会实践</w:t>
      </w:r>
    </w:p>
    <w:p w14:paraId="462337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参加校院两级暑期社会实践小分队并立项的同学加0.1分；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参加社会实践活动受院级表彰加0.3分，校级表彰加0.6分，市级</w:t>
      </w:r>
      <w:r>
        <w:rPr>
          <w:rFonts w:hint="eastAsia" w:ascii="仿宋" w:hAnsi="仿宋" w:eastAsia="仿宋" w:cs="仿宋"/>
          <w:spacing w:val="2"/>
          <w:sz w:val="32"/>
          <w:szCs w:val="32"/>
        </w:rPr>
        <w:t>表彰加0.8分，省级及以上表彰加1分。</w:t>
      </w:r>
    </w:p>
    <w:p w14:paraId="0B3FEA1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3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（3）其他加分项目中的部分表彰加分细则</w:t>
      </w:r>
    </w:p>
    <w:p w14:paraId="36CF2C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FFFFFF" w:fill="D9D9D9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集体表彰中，如获得校先进班集体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  <w:lang w:val="en-US" w:eastAsia="zh-CN"/>
        </w:rPr>
        <w:t>校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活力团支部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  <w:lang w:val="en-US" w:eastAsia="zh-CN"/>
        </w:rPr>
        <w:t>校五四青年先锋团体奖、校优秀团日活动、校五四青年先锋团体提名奖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，班级每人</w:t>
      </w:r>
      <w:r>
        <w:rPr>
          <w:rFonts w:hint="eastAsia" w:ascii="仿宋" w:hAnsi="仿宋" w:eastAsia="仿宋" w:cs="仿宋"/>
          <w:spacing w:val="3"/>
          <w:sz w:val="32"/>
          <w:szCs w:val="32"/>
          <w:highlight w:val="none"/>
          <w:shd w:val="clear" w:color="auto" w:fill="auto"/>
        </w:rPr>
        <w:t>加0.2分；若获得省优秀团支部、省先进班集体，班级每人加0.4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7D5C1B7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560" w:lineRule="exact"/>
        <w:ind w:right="71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集体表彰中，如获得校级宿舍“洁齐美”荣誉的宿舍，宿舍</w:t>
      </w:r>
      <w:r>
        <w:rPr>
          <w:rFonts w:hint="eastAsia" w:ascii="仿宋" w:hAnsi="仿宋" w:eastAsia="仿宋" w:cs="仿宋"/>
          <w:sz w:val="32"/>
          <w:szCs w:val="32"/>
        </w:rPr>
        <w:t>每位同学均加分，一等奖0.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4分，二等奖0.3分，三等奖0.2分，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shd w:val="clear" w:color="auto" w:fill="auto"/>
        </w:rPr>
        <w:t>优胜奖0.1分。</w:t>
      </w:r>
    </w:p>
    <w:p w14:paraId="2B1F92E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420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个人受表彰，如：校五四先锋、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校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优秀团员、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校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优秀学生干部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、校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青马优秀学员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加1分；校五四青年提名奖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加0.5分。凭借综合测评结果申请获得的“三好学生”“优秀学生干部”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以及各类奖学金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不参与测评计分。</w:t>
      </w:r>
    </w:p>
    <w:p w14:paraId="6C5E87B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5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highlight w:val="none"/>
          <w:shd w:val="clear" w:color="auto" w:fill="auto"/>
        </w:rPr>
        <w:t>二、基础性素质得分</w:t>
      </w:r>
    </w:p>
    <w:p w14:paraId="3D683E9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60" w:lineRule="exact"/>
        <w:ind w:left="43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shd w:val="clear" w:color="auto" w:fill="auto"/>
        </w:rPr>
        <w:t>（一）智育素质测评分（满分100分）</w:t>
      </w:r>
    </w:p>
    <w:p w14:paraId="2618EC9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60" w:lineRule="exact"/>
        <w:ind w:left="425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智育素质测评分＝A＋B</w:t>
      </w:r>
    </w:p>
    <w:p w14:paraId="3343333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560" w:lineRule="exact"/>
        <w:ind w:left="5" w:right="69" w:firstLine="411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3"/>
          <w:sz w:val="32"/>
          <w:szCs w:val="32"/>
          <w:highlight w:val="none"/>
          <w:shd w:val="clear" w:color="auto" w:fill="auto"/>
        </w:rPr>
        <w:t>A＝[∑必修课和专业选修课成绩×课程学分]/∑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学分(∑学分不少于15学分）</w:t>
      </w:r>
    </w:p>
    <w:p w14:paraId="5B023FF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420"/>
        <w:jc w:val="both"/>
        <w:textAlignment w:val="baseline"/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B＝测评学年获得的任意选修课学分、辅修专业学分</w:t>
      </w:r>
      <w:r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  <w:t>、自学考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试等取得学分（每门按1.0分计）之和，其中任意选修课加分不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超过2分，其余课程总分不超过4分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微专业按照辅修专业学分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加分。</w:t>
      </w:r>
    </w:p>
    <w:p w14:paraId="67AA662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ind w:left="12" w:right="68" w:firstLine="41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B的补充说明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：（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1）公选课（包括讲座类公选课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）：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每门按</w:t>
      </w:r>
      <w:r>
        <w:rPr>
          <w:rFonts w:hint="eastAsia" w:ascii="仿宋" w:hAnsi="仿宋" w:eastAsia="仿宋" w:cs="仿宋"/>
          <w:sz w:val="32"/>
          <w:szCs w:val="32"/>
        </w:rPr>
        <w:t>1.0分计，公选课累加总分≤2.0分。</w:t>
      </w:r>
    </w:p>
    <w:p w14:paraId="55EFE78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5" w:right="70" w:firstLine="427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（2）辅修类课程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：（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a）日语、西班牙语辅修合格，一学期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为0.5分，两学期为1.0分</w:t>
      </w:r>
      <w:r>
        <w:rPr>
          <w:rFonts w:hint="eastAsia" w:ascii="仿宋" w:hAnsi="仿宋" w:eastAsia="仿宋" w:cs="仿宋"/>
          <w:sz w:val="32"/>
          <w:szCs w:val="32"/>
        </w:rPr>
        <w:t>；（</w:t>
      </w:r>
      <w:r>
        <w:rPr>
          <w:rFonts w:hint="eastAsia" w:ascii="仿宋" w:hAnsi="仿宋" w:eastAsia="仿宋" w:cs="仿宋"/>
          <w:spacing w:val="4"/>
          <w:sz w:val="32"/>
          <w:szCs w:val="32"/>
        </w:rPr>
        <w:t>b）法律辅修，一学期成绩合格为</w:t>
      </w:r>
      <w:r>
        <w:rPr>
          <w:rFonts w:hint="eastAsia" w:ascii="仿宋" w:hAnsi="仿宋" w:eastAsia="仿宋" w:cs="仿宋"/>
          <w:spacing w:val="1"/>
          <w:sz w:val="32"/>
          <w:szCs w:val="32"/>
        </w:rPr>
        <w:t>1.4分，两学期合格为2.8分。辅修类课程累加总分≤3.0分。</w:t>
      </w:r>
    </w:p>
    <w:p w14:paraId="1A8079D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0" w:lineRule="exact"/>
        <w:ind w:left="43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（4）“B”类的累加总分≤6.0分。</w:t>
      </w:r>
    </w:p>
    <w:p w14:paraId="44C2385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60" w:lineRule="exact"/>
        <w:ind w:left="3" w:right="70" w:firstLine="42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3"/>
          <w:sz w:val="32"/>
          <w:szCs w:val="32"/>
        </w:rPr>
        <w:t>.优、良、中、及格、不及格分别按95、85、75、60、40分计算。</w:t>
      </w:r>
    </w:p>
    <w:p w14:paraId="547760C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60" w:lineRule="exact"/>
        <w:ind w:left="3" w:right="68" w:firstLine="422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.不及格课程以不及格成绩计，经补考或同一学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年内重修通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过的，仍按考试原始成绩记，经批准缓考课程的成绩以缓考成绩</w:t>
      </w:r>
      <w:r>
        <w:rPr>
          <w:rFonts w:hint="eastAsia" w:ascii="仿宋" w:hAnsi="仿宋" w:eastAsia="仿宋" w:cs="仿宋"/>
          <w:spacing w:val="9"/>
          <w:sz w:val="32"/>
          <w:szCs w:val="32"/>
        </w:rPr>
        <w:t>计，跨学年重修的课程按照重修所获成绩记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。</w:t>
      </w:r>
    </w:p>
    <w:p w14:paraId="710F66C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560" w:lineRule="exact"/>
        <w:ind w:left="43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（三）体育素质测评（满分100分）</w:t>
      </w:r>
    </w:p>
    <w:p w14:paraId="3136F88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7" w:right="68" w:firstLine="425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1.非体育专业学生体育素质测评分＝体育课程分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×75%＋课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外俱乐部活动测评分。</w:t>
      </w:r>
    </w:p>
    <w:p w14:paraId="2971AED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firstLine="42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开设体育课程的学年，体育课程分为两学期体育课成绩的平均，不开设体育课的学年，体育课程分依据学生体质健康标准等</w:t>
      </w:r>
      <w:r>
        <w:rPr>
          <w:rFonts w:hint="eastAsia" w:ascii="仿宋" w:hAnsi="仿宋" w:eastAsia="仿宋" w:cs="仿宋"/>
          <w:sz w:val="32"/>
          <w:szCs w:val="32"/>
        </w:rPr>
        <w:t>级计分（优秀、良好、中、及格、不及格,分别按95、85、75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、60、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40分计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经获准参加体育保健课的同学（因健康等原因不宜参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加激烈运动者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基础分按60分计算。</w:t>
      </w:r>
    </w:p>
    <w:p w14:paraId="0CD88AC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560" w:lineRule="exact"/>
        <w:ind w:left="3" w:right="68" w:firstLine="41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补充说明：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关于不开设体育课程学年的体育课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程分依据学生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体侧标准等级计分，但常州大学体育学院如果公布原始分数则按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原始分数计算。</w:t>
      </w:r>
    </w:p>
    <w:p w14:paraId="59000CF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60" w:lineRule="exact"/>
        <w:ind w:right="3651" w:firstLine="671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、发展性素质加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分</w:t>
      </w:r>
    </w:p>
    <w:p w14:paraId="6CDA2D8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60" w:lineRule="exact"/>
        <w:ind w:right="3651" w:firstLine="659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补充说明：</w:t>
      </w:r>
    </w:p>
    <w:p w14:paraId="7F88448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right="69" w:firstLine="672" w:firstLineChars="200"/>
        <w:jc w:val="both"/>
        <w:textAlignment w:val="baseline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个人获荣誉称号，一律不在发展性素质得分中加分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。</w:t>
      </w:r>
    </w:p>
    <w:p w14:paraId="094CC9F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ind w:right="2" w:firstLine="65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2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此细则加分的“各类学习、创新创业等竞赛”指由学校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统一组织学生参加的或者经学院认定的各类竞赛；“各类文体活动”指由学校统一组织学生参加的或者经学院认定的各类文体活</w:t>
      </w:r>
      <w:r>
        <w:rPr>
          <w:rFonts w:hint="eastAsia" w:ascii="仿宋" w:hAnsi="仿宋" w:eastAsia="仿宋" w:cs="仿宋"/>
          <w:sz w:val="32"/>
          <w:szCs w:val="32"/>
        </w:rPr>
        <w:t>动。</w:t>
      </w:r>
    </w:p>
    <w:p w14:paraId="08FEF02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right="2" w:firstLine="664" w:firstLineChars="20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3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  <w:lang w:eastAsia="zh-CN"/>
        </w:rPr>
        <w:t>.对以常州大学及其职能部门、二级学院为署名单位的各类学科竞赛、创新创业、文体类竞赛的个人或集体获奖予以认定，其余获奖均不予认定。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竞赛依据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《常州大学大学生创新创业竞赛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I级项目汇总表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不在上述表内的竞赛一律视为文体活动。</w:t>
      </w:r>
    </w:p>
    <w:p w14:paraId="1CC88A8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right="2" w:firstLine="430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4.参加学校或学院组织的各类学术活动、党团日活动等未有竞赛性质的活动不属于加分范畴。</w:t>
      </w:r>
    </w:p>
    <w:p w14:paraId="3BCE2B3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right="2" w:firstLine="430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5.由课程产生的表彰不加分。</w:t>
      </w:r>
    </w:p>
    <w:p w14:paraId="426F594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right="2" w:firstLine="430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6.学生通过常州大学报名参加出国（境）交流学习（含线上项目），加1分，由常州大学国际交流处提供名单，学生出具结业证书等证明材料。</w:t>
      </w:r>
    </w:p>
    <w:p w14:paraId="68FC9F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left="426" w:right="2949" w:firstLine="3"/>
        <w:jc w:val="both"/>
        <w:textAlignment w:val="baseline"/>
        <w:rPr>
          <w:rFonts w:hint="eastAsia" w:ascii="仿宋" w:hAnsi="仿宋" w:eastAsia="仿宋" w:cs="仿宋"/>
          <w:b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（一）创新创业与科研能力</w:t>
      </w:r>
    </w:p>
    <w:p w14:paraId="2476D4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right="2949" w:firstLine="643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创新创业能力加分</w:t>
      </w:r>
    </w:p>
    <w:p w14:paraId="102B5BF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560" w:lineRule="exact"/>
        <w:ind w:firstLine="420"/>
        <w:jc w:val="both"/>
        <w:textAlignment w:val="baseline"/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参加各类学科竞赛、创新创业等竞赛，以获奖证书或文件获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得时间为依据，加分参考下表。</w:t>
      </w:r>
    </w:p>
    <w:p w14:paraId="670A62E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highlight w:val="none"/>
        </w:rPr>
        <w:t>竞赛奖励分一览表</w:t>
      </w:r>
    </w:p>
    <w:tbl>
      <w:tblPr>
        <w:tblStyle w:val="8"/>
        <w:tblW w:w="78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564"/>
        <w:gridCol w:w="1564"/>
        <w:gridCol w:w="1564"/>
        <w:gridCol w:w="1574"/>
      </w:tblGrid>
      <w:tr w14:paraId="45F2E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4775159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560" w:lineRule="exact"/>
              <w:ind w:firstLine="640" w:firstLineChars="2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635</wp:posOffset>
                  </wp:positionV>
                  <wp:extent cx="876935" cy="843280"/>
                  <wp:effectExtent l="0" t="0" r="6985" b="1016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32"/>
                <w:szCs w:val="32"/>
              </w:rPr>
              <w:t>级</w:t>
            </w:r>
          </w:p>
          <w:p w14:paraId="624F05C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560" w:lineRule="exact"/>
              <w:ind w:left="119" w:firstLine="325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32"/>
                <w:szCs w:val="32"/>
              </w:rPr>
              <w:t>级别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6D6F5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FF016E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firstLine="32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</w:rPr>
              <w:t>一等奖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38E1DA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3B403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firstLine="32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</w:rPr>
              <w:t>二等奖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58F8BD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8AB2AE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firstLine="33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32"/>
                <w:szCs w:val="32"/>
              </w:rPr>
              <w:t>三等奖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37023F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966783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firstLine="33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32"/>
                <w:szCs w:val="32"/>
              </w:rPr>
              <w:t>优秀奖</w:t>
            </w:r>
          </w:p>
        </w:tc>
      </w:tr>
      <w:tr w14:paraId="3EE89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4BA794D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国家级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1185E71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ind w:left="435" w:firstLine="31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5.0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7DBC0E2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ind w:left="431" w:firstLine="32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4.0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37971B8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ind w:left="438" w:firstLine="31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3.0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0733F86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ind w:left="437" w:firstLine="32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2.2</w:t>
            </w:r>
          </w:p>
        </w:tc>
      </w:tr>
      <w:tr w14:paraId="32C3C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676586B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省级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1238872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60" w:lineRule="exact"/>
              <w:ind w:left="435" w:firstLine="31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3.0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1EAB122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60" w:lineRule="exact"/>
              <w:ind w:left="435" w:firstLine="31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2.6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7F088F3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60" w:lineRule="exact"/>
              <w:ind w:left="436" w:firstLine="31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2.2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297F368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ind w:left="450" w:firstLine="313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1.4</w:t>
            </w:r>
          </w:p>
        </w:tc>
      </w:tr>
      <w:tr w14:paraId="5F82B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4767271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32"/>
                <w:szCs w:val="32"/>
              </w:rPr>
              <w:t>市、校级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3CBE7B3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60" w:lineRule="exact"/>
              <w:ind w:left="447" w:firstLine="31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1.8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5F86700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60" w:lineRule="exact"/>
              <w:ind w:left="448" w:firstLine="31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1.4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1725848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560" w:lineRule="exact"/>
              <w:ind w:left="449" w:firstLine="31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1.2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5588FB2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560" w:lineRule="exact"/>
              <w:ind w:left="436" w:firstLine="32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0.6</w:t>
            </w:r>
          </w:p>
        </w:tc>
      </w:tr>
      <w:tr w14:paraId="049D4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71" w:type="dxa"/>
            <w:tcBorders>
              <w:tl2br w:val="nil"/>
              <w:tr2bl w:val="nil"/>
            </w:tcBorders>
            <w:vAlign w:val="top"/>
          </w:tcPr>
          <w:p w14:paraId="74FF31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32"/>
                <w:szCs w:val="32"/>
              </w:rPr>
              <w:t>院级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4044260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560" w:lineRule="exact"/>
              <w:ind w:left="447" w:firstLine="31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1.2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76EBA7C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60" w:lineRule="exact"/>
              <w:ind w:left="434" w:firstLine="31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0.8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top"/>
          </w:tcPr>
          <w:p w14:paraId="0440919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60" w:lineRule="exact"/>
              <w:ind w:left="435" w:firstLine="319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2"/>
                <w:szCs w:val="32"/>
              </w:rPr>
              <w:t>0.5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top"/>
          </w:tcPr>
          <w:p w14:paraId="6127EF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60" w:lineRule="exact"/>
              <w:ind w:left="436" w:firstLine="321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0.2</w:t>
            </w:r>
          </w:p>
        </w:tc>
      </w:tr>
    </w:tbl>
    <w:p w14:paraId="49A1965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560" w:lineRule="exact"/>
        <w:ind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科技竞赛包括挑战杯（包含“大挑”“小挑”）、中国国际大学生创新大赛（原名“互联网+大学生创新创业大赛”）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全国大学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生英语竞赛、数学竞赛、校创新基金、人文社科类作品大赛、及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其他专业性强的学科竞赛等，依据“竞赛奖励分一览表”进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shd w:val="clear" w:color="auto" w:fill="auto"/>
        </w:rPr>
        <w:t>行加分。</w:t>
      </w:r>
    </w:p>
    <w:p w14:paraId="0262D50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560" w:lineRule="exact"/>
        <w:ind w:left="3" w:firstLine="415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在“挑战杯”全国大学生课外学术科技作品竞赛、“挑战杯”中国大学生创业计划大赛、中国国际大学生创新大赛（原名“互联网+大学生创新创业大赛”）中，我院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  <w:lang w:val="en-US" w:eastAsia="zh-CN"/>
        </w:rPr>
        <w:t>作为第一单位申报、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主导参加的项目，按正常分值进行加分；若所参与项目属于其他学院主办的情况，个人加分按奖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  <w:shd w:val="clear" w:color="auto" w:fill="auto"/>
        </w:rPr>
        <w:t>项分值的2/3计算。</w:t>
      </w:r>
    </w:p>
    <w:p w14:paraId="30552F0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2" w:firstLine="431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院沙盘大赛、院商务谈判大赛、院营销策划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大赛属于院科技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  <w:t>竞赛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2DE239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大学生创新创业训练计划项目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的加分，立项比照校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级优秀奖加分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结项且获得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等奖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每人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加0.2分。</w:t>
      </w:r>
    </w:p>
    <w:p w14:paraId="20AD6B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560" w:lineRule="exact"/>
        <w:ind w:left="2" w:firstLine="421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全国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大学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生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英语竞赛（全国大学生英语指导委员会颁发</w:t>
      </w:r>
      <w:r>
        <w:rPr>
          <w:rFonts w:hint="eastAsia" w:ascii="仿宋" w:hAnsi="仿宋" w:eastAsia="仿宋" w:cs="仿宋"/>
          <w:spacing w:val="24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若为特等奖，则按照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“竞赛奖励分一览表”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国家级标准加分；若为一等奖，则按照省级标准加分；若为二等奖和三等奖，则按照校级标准加分。</w:t>
      </w:r>
    </w:p>
    <w:p w14:paraId="457DE1F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left="4" w:firstLine="417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针对创新创业能力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加分中有关自主创业行为加分：学生创业取得营业执照，应学生本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shd w:val="clear" w:color="auto" w:fill="auto"/>
        </w:rPr>
        <w:t>人为法人，且注册时间在测评学年内。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由学生本人提交相关材料，加1分，证书不可累加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上限为1分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。</w:t>
      </w:r>
    </w:p>
    <w:p w14:paraId="2496779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firstLine="627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shd w:val="clear" w:color="auto" w:fill="auto"/>
        </w:rPr>
        <w:t>2.科研成果</w:t>
      </w:r>
    </w:p>
    <w:p w14:paraId="685119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ind w:firstLine="320" w:firstLineChars="1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以常州大学为第一申报单位、且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被授予或公开专利项目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加分标准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：</w:t>
      </w:r>
    </w:p>
    <w:tbl>
      <w:tblPr>
        <w:tblStyle w:val="6"/>
        <w:tblW w:w="84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908"/>
        <w:gridCol w:w="848"/>
        <w:gridCol w:w="828"/>
        <w:gridCol w:w="871"/>
        <w:gridCol w:w="849"/>
        <w:gridCol w:w="935"/>
        <w:gridCol w:w="838"/>
        <w:gridCol w:w="839"/>
      </w:tblGrid>
      <w:tr w14:paraId="0D6D8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2" w:type="dxa"/>
            <w:vMerge w:val="restart"/>
          </w:tcPr>
          <w:p w14:paraId="2D55E64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ind w:left="28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</w:p>
          <w:p w14:paraId="406EE0B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ind w:firstLine="627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756" w:type="dxa"/>
            <w:gridSpan w:val="2"/>
          </w:tcPr>
          <w:p w14:paraId="2F7D12A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排名第一人</w:t>
            </w:r>
          </w:p>
        </w:tc>
        <w:tc>
          <w:tcPr>
            <w:tcW w:w="1699" w:type="dxa"/>
            <w:gridSpan w:val="2"/>
          </w:tcPr>
          <w:p w14:paraId="3DF99D4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排名第二人</w:t>
            </w:r>
          </w:p>
        </w:tc>
        <w:tc>
          <w:tcPr>
            <w:tcW w:w="1784" w:type="dxa"/>
            <w:gridSpan w:val="2"/>
          </w:tcPr>
          <w:p w14:paraId="3A3AC22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排名第三人</w:t>
            </w:r>
          </w:p>
        </w:tc>
        <w:tc>
          <w:tcPr>
            <w:tcW w:w="1677" w:type="dxa"/>
            <w:gridSpan w:val="2"/>
          </w:tcPr>
          <w:p w14:paraId="31281DD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排名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四人</w:t>
            </w:r>
          </w:p>
        </w:tc>
      </w:tr>
      <w:tr w14:paraId="54A17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2" w:type="dxa"/>
            <w:vMerge w:val="continue"/>
          </w:tcPr>
          <w:p w14:paraId="3C55DC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ind w:left="28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</w:p>
        </w:tc>
        <w:tc>
          <w:tcPr>
            <w:tcW w:w="908" w:type="dxa"/>
          </w:tcPr>
          <w:p w14:paraId="6BDB474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被授予</w:t>
            </w:r>
          </w:p>
        </w:tc>
        <w:tc>
          <w:tcPr>
            <w:tcW w:w="848" w:type="dxa"/>
          </w:tcPr>
          <w:p w14:paraId="776185F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公开</w:t>
            </w:r>
          </w:p>
        </w:tc>
        <w:tc>
          <w:tcPr>
            <w:tcW w:w="828" w:type="dxa"/>
            <w:vAlign w:val="top"/>
          </w:tcPr>
          <w:p w14:paraId="7FA802A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被授予</w:t>
            </w:r>
          </w:p>
        </w:tc>
        <w:tc>
          <w:tcPr>
            <w:tcW w:w="871" w:type="dxa"/>
            <w:vAlign w:val="top"/>
          </w:tcPr>
          <w:p w14:paraId="1CFB902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公开</w:t>
            </w:r>
          </w:p>
        </w:tc>
        <w:tc>
          <w:tcPr>
            <w:tcW w:w="849" w:type="dxa"/>
            <w:vAlign w:val="top"/>
          </w:tcPr>
          <w:p w14:paraId="7614B27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被授予</w:t>
            </w:r>
          </w:p>
        </w:tc>
        <w:tc>
          <w:tcPr>
            <w:tcW w:w="935" w:type="dxa"/>
            <w:vAlign w:val="top"/>
          </w:tcPr>
          <w:p w14:paraId="67818B2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公开</w:t>
            </w:r>
          </w:p>
        </w:tc>
        <w:tc>
          <w:tcPr>
            <w:tcW w:w="838" w:type="dxa"/>
            <w:vAlign w:val="top"/>
          </w:tcPr>
          <w:p w14:paraId="44AA5DB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被授予</w:t>
            </w:r>
          </w:p>
        </w:tc>
        <w:tc>
          <w:tcPr>
            <w:tcW w:w="839" w:type="dxa"/>
            <w:vAlign w:val="top"/>
          </w:tcPr>
          <w:p w14:paraId="01E424D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eastAsia="zh-CN"/>
              </w:rPr>
              <w:t>公开</w:t>
            </w:r>
          </w:p>
        </w:tc>
      </w:tr>
      <w:tr w14:paraId="2A75C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2" w:type="dxa"/>
          </w:tcPr>
          <w:p w14:paraId="5BEE427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发明专利</w:t>
            </w:r>
          </w:p>
        </w:tc>
        <w:tc>
          <w:tcPr>
            <w:tcW w:w="908" w:type="dxa"/>
          </w:tcPr>
          <w:p w14:paraId="6C22B8A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48" w:type="dxa"/>
          </w:tcPr>
          <w:p w14:paraId="0412DDB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2.5</w:t>
            </w:r>
          </w:p>
        </w:tc>
        <w:tc>
          <w:tcPr>
            <w:tcW w:w="828" w:type="dxa"/>
          </w:tcPr>
          <w:p w14:paraId="6CEE87D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71" w:type="dxa"/>
          </w:tcPr>
          <w:p w14:paraId="70D6328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2.2</w:t>
            </w:r>
          </w:p>
        </w:tc>
        <w:tc>
          <w:tcPr>
            <w:tcW w:w="849" w:type="dxa"/>
          </w:tcPr>
          <w:p w14:paraId="2D52D6A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2.5</w:t>
            </w:r>
          </w:p>
        </w:tc>
        <w:tc>
          <w:tcPr>
            <w:tcW w:w="935" w:type="dxa"/>
          </w:tcPr>
          <w:p w14:paraId="4417DA3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1.25</w:t>
            </w:r>
          </w:p>
        </w:tc>
        <w:tc>
          <w:tcPr>
            <w:tcW w:w="838" w:type="dxa"/>
          </w:tcPr>
          <w:p w14:paraId="5C4CB42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839" w:type="dxa"/>
          </w:tcPr>
          <w:p w14:paraId="74B9109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0.75</w:t>
            </w:r>
          </w:p>
        </w:tc>
      </w:tr>
      <w:tr w14:paraId="5F325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2" w:type="dxa"/>
          </w:tcPr>
          <w:p w14:paraId="1CAD1EC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实用新型专利</w:t>
            </w:r>
          </w:p>
        </w:tc>
        <w:tc>
          <w:tcPr>
            <w:tcW w:w="908" w:type="dxa"/>
          </w:tcPr>
          <w:p w14:paraId="16A3477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48" w:type="dxa"/>
          </w:tcPr>
          <w:p w14:paraId="59E9198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28" w:type="dxa"/>
          </w:tcPr>
          <w:p w14:paraId="353597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1" w:type="dxa"/>
          </w:tcPr>
          <w:p w14:paraId="242B78E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49" w:type="dxa"/>
          </w:tcPr>
          <w:p w14:paraId="094E861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5" w:type="dxa"/>
          </w:tcPr>
          <w:p w14:paraId="166DE58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38" w:type="dxa"/>
          </w:tcPr>
          <w:p w14:paraId="5CFD03B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839" w:type="dxa"/>
          </w:tcPr>
          <w:p w14:paraId="6D09DA9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</w:tr>
      <w:tr w14:paraId="05834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2" w:type="dxa"/>
          </w:tcPr>
          <w:p w14:paraId="5B0A485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外观设计专利</w:t>
            </w:r>
          </w:p>
        </w:tc>
        <w:tc>
          <w:tcPr>
            <w:tcW w:w="908" w:type="dxa"/>
          </w:tcPr>
          <w:p w14:paraId="303390F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1.25</w:t>
            </w:r>
          </w:p>
        </w:tc>
        <w:tc>
          <w:tcPr>
            <w:tcW w:w="848" w:type="dxa"/>
          </w:tcPr>
          <w:p w14:paraId="309945B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28" w:type="dxa"/>
          </w:tcPr>
          <w:p w14:paraId="2B1D44A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0.8</w:t>
            </w:r>
          </w:p>
        </w:tc>
        <w:tc>
          <w:tcPr>
            <w:tcW w:w="871" w:type="dxa"/>
          </w:tcPr>
          <w:p w14:paraId="5E5312B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49" w:type="dxa"/>
          </w:tcPr>
          <w:p w14:paraId="231A343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935" w:type="dxa"/>
          </w:tcPr>
          <w:p w14:paraId="116B2E0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838" w:type="dxa"/>
          </w:tcPr>
          <w:p w14:paraId="4FFD6A9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0.2</w:t>
            </w:r>
          </w:p>
        </w:tc>
        <w:tc>
          <w:tcPr>
            <w:tcW w:w="839" w:type="dxa"/>
          </w:tcPr>
          <w:p w14:paraId="56E3025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/</w:t>
            </w:r>
          </w:p>
        </w:tc>
      </w:tr>
    </w:tbl>
    <w:p w14:paraId="5A96C97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（2）公开发表在正式刊物的学术论文，加分标准如下：</w:t>
      </w:r>
    </w:p>
    <w:tbl>
      <w:tblPr>
        <w:tblStyle w:val="6"/>
        <w:tblW w:w="85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377"/>
        <w:gridCol w:w="1640"/>
        <w:gridCol w:w="1638"/>
        <w:gridCol w:w="1977"/>
      </w:tblGrid>
      <w:tr w14:paraId="78E6D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6" w:type="dxa"/>
            <w:vMerge w:val="restart"/>
          </w:tcPr>
          <w:p w14:paraId="3E493B4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  <w:lang w:val="en-US" w:eastAsia="zh-CN"/>
              </w:rPr>
            </w:pPr>
          </w:p>
          <w:p w14:paraId="491F41C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2"/>
                <w:szCs w:val="32"/>
                <w:lang w:val="en-US" w:eastAsia="zh-CN"/>
              </w:rPr>
              <w:t>级别</w:t>
            </w:r>
          </w:p>
        </w:tc>
        <w:tc>
          <w:tcPr>
            <w:tcW w:w="4655" w:type="dxa"/>
            <w:gridSpan w:val="3"/>
          </w:tcPr>
          <w:p w14:paraId="14E6E94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  <w:t>加分</w:t>
            </w:r>
          </w:p>
        </w:tc>
        <w:tc>
          <w:tcPr>
            <w:tcW w:w="1977" w:type="dxa"/>
          </w:tcPr>
          <w:p w14:paraId="070CF7B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lang w:val="en-US" w:eastAsia="zh-CN"/>
              </w:rPr>
            </w:pPr>
          </w:p>
        </w:tc>
      </w:tr>
      <w:tr w14:paraId="0F41D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886" w:type="dxa"/>
            <w:vMerge w:val="continue"/>
          </w:tcPr>
          <w:p w14:paraId="4CA4ACA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77" w:type="dxa"/>
          </w:tcPr>
          <w:p w14:paraId="3CD4F65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第一作者</w:t>
            </w:r>
          </w:p>
        </w:tc>
        <w:tc>
          <w:tcPr>
            <w:tcW w:w="1640" w:type="dxa"/>
          </w:tcPr>
          <w:p w14:paraId="5935FAC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第二作者</w:t>
            </w:r>
          </w:p>
        </w:tc>
        <w:tc>
          <w:tcPr>
            <w:tcW w:w="1638" w:type="dxa"/>
          </w:tcPr>
          <w:p w14:paraId="550FCF4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第三作者</w:t>
            </w:r>
          </w:p>
        </w:tc>
        <w:tc>
          <w:tcPr>
            <w:tcW w:w="1977" w:type="dxa"/>
          </w:tcPr>
          <w:p w14:paraId="6D0CFF8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其他</w:t>
            </w:r>
          </w:p>
        </w:tc>
      </w:tr>
      <w:tr w14:paraId="1EC33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886" w:type="dxa"/>
          </w:tcPr>
          <w:p w14:paraId="41B4645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EI、SCI检录</w:t>
            </w:r>
          </w:p>
        </w:tc>
        <w:tc>
          <w:tcPr>
            <w:tcW w:w="1377" w:type="dxa"/>
          </w:tcPr>
          <w:p w14:paraId="6D1997C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40" w:type="dxa"/>
          </w:tcPr>
          <w:p w14:paraId="6BFEF19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38" w:type="dxa"/>
          </w:tcPr>
          <w:p w14:paraId="1B75335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977" w:type="dxa"/>
          </w:tcPr>
          <w:p w14:paraId="08A3A13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0.5</w:t>
            </w:r>
          </w:p>
        </w:tc>
      </w:tr>
      <w:tr w14:paraId="29EFA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6" w:type="dxa"/>
          </w:tcPr>
          <w:p w14:paraId="570AA2E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核心刊物</w:t>
            </w:r>
          </w:p>
        </w:tc>
        <w:tc>
          <w:tcPr>
            <w:tcW w:w="1377" w:type="dxa"/>
          </w:tcPr>
          <w:p w14:paraId="67C983A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40" w:type="dxa"/>
          </w:tcPr>
          <w:p w14:paraId="49D260C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38" w:type="dxa"/>
          </w:tcPr>
          <w:p w14:paraId="5D2AE16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0.5</w:t>
            </w:r>
          </w:p>
        </w:tc>
        <w:tc>
          <w:tcPr>
            <w:tcW w:w="1977" w:type="dxa"/>
          </w:tcPr>
          <w:p w14:paraId="392FB14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0.2</w:t>
            </w:r>
          </w:p>
        </w:tc>
      </w:tr>
      <w:tr w14:paraId="0B1C6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86" w:type="dxa"/>
          </w:tcPr>
          <w:p w14:paraId="4BD4B04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一般刊物</w:t>
            </w:r>
          </w:p>
        </w:tc>
        <w:tc>
          <w:tcPr>
            <w:tcW w:w="1377" w:type="dxa"/>
          </w:tcPr>
          <w:p w14:paraId="15A68F1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1.5</w:t>
            </w:r>
          </w:p>
        </w:tc>
        <w:tc>
          <w:tcPr>
            <w:tcW w:w="1640" w:type="dxa"/>
          </w:tcPr>
          <w:p w14:paraId="4EABB99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0.75</w:t>
            </w:r>
          </w:p>
        </w:tc>
        <w:tc>
          <w:tcPr>
            <w:tcW w:w="1638" w:type="dxa"/>
          </w:tcPr>
          <w:p w14:paraId="5A2E494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0.3</w:t>
            </w:r>
          </w:p>
        </w:tc>
        <w:tc>
          <w:tcPr>
            <w:tcW w:w="1977" w:type="dxa"/>
          </w:tcPr>
          <w:p w14:paraId="3EB5480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0.1</w:t>
            </w:r>
          </w:p>
        </w:tc>
      </w:tr>
      <w:tr w14:paraId="5221E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86" w:type="dxa"/>
          </w:tcPr>
          <w:p w14:paraId="4ACD401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市级以上党政报刊理论版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2C713F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1.5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F86E32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0.75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386C11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0.3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03BF04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  <w:highlight w:val="none"/>
                <w:lang w:val="en-US" w:eastAsia="zh-CN"/>
              </w:rPr>
              <w:t>0.1</w:t>
            </w:r>
          </w:p>
        </w:tc>
      </w:tr>
    </w:tbl>
    <w:p w14:paraId="0D22018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firstLine="431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注：科研成果署名单位必须为常州大学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加分仅限所学专业及相关领域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之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内；同一著作、学术论文、专利按最高级别标准加分一次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学术论文以在学校图书馆例举的中文资源库中查询为准。</w:t>
      </w:r>
    </w:p>
    <w:p w14:paraId="6FBE6A6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1" w:firstLine="43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（3）文学、美术、摄影等作品参照优秀奖执行（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在学校内部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刊物上发表的酌情加分，每件不超过0.1分，文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学、美术、摄影相关专业的由相关学院自行认定加分标准）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。</w:t>
      </w:r>
    </w:p>
    <w:p w14:paraId="0008674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firstLine="627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3.说明</w:t>
      </w:r>
    </w:p>
    <w:p w14:paraId="765415C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left="2" w:firstLine="42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上述各类竞赛活动若以名次评出，则第一名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按一等奖加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分，第二、三名按二等奖加分，第四、五名以后按三等奖加分。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若设特等奖，则以同级一等奖加分标准×1.2执行，参与奖、入围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奖则以同级优秀奖加分标准执行，省级以上，国家级以下的大区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级获奖按照省级加分标准×1.2执行，市级以上，省级以下的片区级获奖按照市级加分标准×1.2执行。</w:t>
      </w:r>
    </w:p>
    <w:p w14:paraId="56692A2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firstLine="667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（二）社会工作能力</w:t>
      </w:r>
    </w:p>
    <w:p w14:paraId="182A49A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560" w:lineRule="exact"/>
        <w:ind w:left="118" w:right="53" w:firstLine="44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1.学生干部指担任班委、团支委（含）等以上职务的学生。</w:t>
      </w:r>
      <w:r>
        <w:rPr>
          <w:rFonts w:hint="eastAsia" w:ascii="仿宋" w:hAnsi="仿宋" w:eastAsia="仿宋" w:cs="仿宋"/>
          <w:spacing w:val="9"/>
          <w:sz w:val="32"/>
          <w:szCs w:val="32"/>
        </w:rPr>
        <w:t>“一级学生干部”系指该学年中任职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半年以上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的（下同）校、院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学生会正、副主席，团委、校学生会副秘书长、各部部长，校、院自律中心正副主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任，校自律中心各部部长，院团总支副书记，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学生班主任；“二级学生干部”系指学生社团负责人、校团委、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学生会各部副部长、校自律中心各部副部长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、校团总支委员，院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学生会各部长及自律中心各部长，班长和团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支部书记，辅导员助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理；“三级学生干部”系指学校认定的其他学生干部，包括各级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>干事、寝室长等；身兼多职的学生干部以最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高级别计。对学生干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部要进行统一管理，由在用单位根据工作情况进行考核，确定等</w:t>
      </w:r>
      <w:r>
        <w:rPr>
          <w:rFonts w:hint="eastAsia" w:ascii="仿宋" w:hAnsi="仿宋" w:eastAsia="仿宋" w:cs="仿宋"/>
          <w:spacing w:val="5"/>
          <w:sz w:val="32"/>
          <w:szCs w:val="32"/>
          <w:highlight w:val="none"/>
        </w:rPr>
        <w:t>级，考核可分三等：优秀、良好、一般。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highlight w:val="none"/>
        </w:rPr>
        <w:t>校、院等学生干部任用、</w:t>
      </w:r>
      <w:r>
        <w:rPr>
          <w:rFonts w:hint="eastAsia" w:ascii="仿宋" w:hAnsi="仿宋" w:eastAsia="仿宋" w:cs="仿宋"/>
          <w:b/>
          <w:bCs/>
          <w:spacing w:val="16"/>
          <w:sz w:val="32"/>
          <w:szCs w:val="32"/>
          <w:highlight w:val="none"/>
        </w:rPr>
        <w:t>考核主管部门应在新学年开学后两周内将考核结果的正式文件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highlight w:val="none"/>
        </w:rPr>
        <w:t>报学生所在学院学工部门，并及时反馈到该生所在班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highlight w:val="none"/>
        </w:rPr>
        <w:t>级。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担任各级学生干部，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highlight w:val="none"/>
        </w:rPr>
        <w:t>取高限，不累计加分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。</w:t>
      </w:r>
    </w:p>
    <w:p w14:paraId="6A54771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0" w:afterLines="50" w:line="560" w:lineRule="exact"/>
        <w:ind w:left="55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社团各部长依照三级学生干部加分。</w:t>
      </w:r>
    </w:p>
    <w:p w14:paraId="5674DD1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after="0" w:afterLines="50"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学生干部奖励分标准一览表</w:t>
      </w:r>
    </w:p>
    <w:tbl>
      <w:tblPr>
        <w:tblStyle w:val="8"/>
        <w:tblW w:w="79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106"/>
        <w:gridCol w:w="2106"/>
        <w:gridCol w:w="2060"/>
      </w:tblGrid>
      <w:tr w14:paraId="0B864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67" w:type="dxa"/>
            <w:vAlign w:val="top"/>
          </w:tcPr>
          <w:p w14:paraId="3B8BC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级别</w:t>
            </w:r>
          </w:p>
        </w:tc>
        <w:tc>
          <w:tcPr>
            <w:tcW w:w="2106" w:type="dxa"/>
            <w:vAlign w:val="top"/>
          </w:tcPr>
          <w:p w14:paraId="2D8EA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优秀</w:t>
            </w:r>
          </w:p>
        </w:tc>
        <w:tc>
          <w:tcPr>
            <w:tcW w:w="2106" w:type="dxa"/>
            <w:vAlign w:val="top"/>
          </w:tcPr>
          <w:p w14:paraId="5FF67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9"/>
                <w:sz w:val="32"/>
                <w:szCs w:val="32"/>
              </w:rPr>
              <w:t>良好</w:t>
            </w:r>
          </w:p>
        </w:tc>
        <w:tc>
          <w:tcPr>
            <w:tcW w:w="2060" w:type="dxa"/>
            <w:vAlign w:val="top"/>
          </w:tcPr>
          <w:p w14:paraId="1011E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一般</w:t>
            </w:r>
          </w:p>
        </w:tc>
      </w:tr>
      <w:tr w14:paraId="25E62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67" w:type="dxa"/>
            <w:vAlign w:val="top"/>
          </w:tcPr>
          <w:p w14:paraId="1ADEE2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一级</w:t>
            </w:r>
          </w:p>
        </w:tc>
        <w:tc>
          <w:tcPr>
            <w:tcW w:w="2106" w:type="dxa"/>
            <w:vAlign w:val="top"/>
          </w:tcPr>
          <w:p w14:paraId="18548CD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1.5</w:t>
            </w:r>
          </w:p>
        </w:tc>
        <w:tc>
          <w:tcPr>
            <w:tcW w:w="2106" w:type="dxa"/>
            <w:vAlign w:val="top"/>
          </w:tcPr>
          <w:p w14:paraId="3C221D1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1.0</w:t>
            </w:r>
          </w:p>
        </w:tc>
        <w:tc>
          <w:tcPr>
            <w:tcW w:w="2060" w:type="dxa"/>
            <w:vAlign w:val="top"/>
          </w:tcPr>
          <w:p w14:paraId="44D1E9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32"/>
                <w:szCs w:val="32"/>
              </w:rPr>
              <w:t>≤0.5</w:t>
            </w:r>
          </w:p>
        </w:tc>
      </w:tr>
      <w:tr w14:paraId="47B59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67" w:type="dxa"/>
            <w:vAlign w:val="top"/>
          </w:tcPr>
          <w:p w14:paraId="7C9D3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二级</w:t>
            </w:r>
          </w:p>
        </w:tc>
        <w:tc>
          <w:tcPr>
            <w:tcW w:w="2106" w:type="dxa"/>
            <w:vAlign w:val="top"/>
          </w:tcPr>
          <w:p w14:paraId="56EA0C9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1.2</w:t>
            </w:r>
          </w:p>
        </w:tc>
        <w:tc>
          <w:tcPr>
            <w:tcW w:w="2106" w:type="dxa"/>
            <w:vAlign w:val="top"/>
          </w:tcPr>
          <w:p w14:paraId="6047124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0.8</w:t>
            </w:r>
          </w:p>
        </w:tc>
        <w:tc>
          <w:tcPr>
            <w:tcW w:w="2060" w:type="dxa"/>
            <w:vAlign w:val="top"/>
          </w:tcPr>
          <w:p w14:paraId="13A3CF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≤0.3</w:t>
            </w:r>
          </w:p>
        </w:tc>
      </w:tr>
      <w:tr w14:paraId="760F3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67" w:type="dxa"/>
            <w:vAlign w:val="top"/>
          </w:tcPr>
          <w:p w14:paraId="2CE8F9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三级</w:t>
            </w:r>
          </w:p>
        </w:tc>
        <w:tc>
          <w:tcPr>
            <w:tcW w:w="2106" w:type="dxa"/>
            <w:vAlign w:val="top"/>
          </w:tcPr>
          <w:p w14:paraId="33C9BC8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1.0</w:t>
            </w:r>
          </w:p>
        </w:tc>
        <w:tc>
          <w:tcPr>
            <w:tcW w:w="2106" w:type="dxa"/>
            <w:vAlign w:val="top"/>
          </w:tcPr>
          <w:p w14:paraId="270AB20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0.6</w:t>
            </w:r>
          </w:p>
        </w:tc>
        <w:tc>
          <w:tcPr>
            <w:tcW w:w="2060" w:type="dxa"/>
            <w:vAlign w:val="top"/>
          </w:tcPr>
          <w:p w14:paraId="33C87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position w:val="1"/>
                <w:sz w:val="32"/>
                <w:szCs w:val="32"/>
              </w:rPr>
              <w:t>≤0.1</w:t>
            </w:r>
          </w:p>
        </w:tc>
      </w:tr>
    </w:tbl>
    <w:p w14:paraId="2F7643F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en-US"/>
        </w:rPr>
        <w:t>2.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各级学生社团主要负责人，依据工作实绩，由指导部门考核，参照学生干部奖励分标准给分。如：党支部副书记按照二级学生干部加分；校辩论队队长依照学生社团负责人加分；求索网站/校学通社学生干部加分按照校党委宣传部的建议标准加分；院双创社团负责人按一级学生干部。</w:t>
      </w:r>
    </w:p>
    <w:p w14:paraId="20C4D24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560" w:lineRule="exact"/>
        <w:ind w:left="6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（三）文体活动能力</w:t>
      </w:r>
    </w:p>
    <w:p w14:paraId="7FA6E74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1.参加文艺、体育活动和其它相关活动取得一定成绩的按照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本条加分。集体项目的主力队员按下述名次标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准加分,非主力队员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按下表标准的2/3加分。同一项目获多级奖励时，取高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限，不累</w:t>
      </w:r>
      <w:r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  <w:t>计加分。参加全国大学生田径锦标赛、马拉松、自行车等体育赛事活动，取得前八名的，则依照主办单位定等级，按照下表加分。</w:t>
      </w:r>
    </w:p>
    <w:p w14:paraId="0AAB561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0C1700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73DD29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4D46E7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01F9FB1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612278A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7AF4F6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1671CFD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190" w:right="167" w:firstLine="429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</w:rPr>
      </w:pPr>
    </w:p>
    <w:p w14:paraId="4BEDCAD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after="0" w:afterLines="50"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体育竞赛加分标准一览表</w:t>
      </w:r>
    </w:p>
    <w:tbl>
      <w:tblPr>
        <w:tblStyle w:val="8"/>
        <w:tblW w:w="78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714"/>
        <w:gridCol w:w="657"/>
        <w:gridCol w:w="633"/>
        <w:gridCol w:w="677"/>
        <w:gridCol w:w="714"/>
        <w:gridCol w:w="715"/>
        <w:gridCol w:w="715"/>
        <w:gridCol w:w="657"/>
        <w:gridCol w:w="733"/>
      </w:tblGrid>
      <w:tr w14:paraId="529BF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1661" w:type="dxa"/>
            <w:vAlign w:val="top"/>
          </w:tcPr>
          <w:p w14:paraId="6F3EA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560" w:lineRule="exact"/>
              <w:ind w:firstLine="960" w:firstLineChars="3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17145</wp:posOffset>
                  </wp:positionV>
                  <wp:extent cx="1028065" cy="1451610"/>
                  <wp:effectExtent l="0" t="0" r="8255" b="1143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名次</w:t>
            </w:r>
          </w:p>
          <w:p w14:paraId="0078F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984" w:firstLineChars="300"/>
              <w:jc w:val="both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加分</w:t>
            </w:r>
          </w:p>
          <w:p w14:paraId="45F87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right="13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标准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级别</w:t>
            </w:r>
          </w:p>
        </w:tc>
        <w:tc>
          <w:tcPr>
            <w:tcW w:w="714" w:type="dxa"/>
            <w:textDirection w:val="tbRlV"/>
            <w:vAlign w:val="top"/>
          </w:tcPr>
          <w:p w14:paraId="65B6F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560" w:lineRule="exact"/>
              <w:ind w:left="41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破记录</w:t>
            </w:r>
          </w:p>
        </w:tc>
        <w:tc>
          <w:tcPr>
            <w:tcW w:w="657" w:type="dxa"/>
            <w:vAlign w:val="top"/>
          </w:tcPr>
          <w:p w14:paraId="591A9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4A98C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C103B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firstLine="320" w:firstLineChars="10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-3"/>
                <w:sz w:val="32"/>
                <w:szCs w:val="32"/>
              </w:rPr>
              <w:t>一</w:t>
            </w:r>
          </w:p>
        </w:tc>
        <w:tc>
          <w:tcPr>
            <w:tcW w:w="633" w:type="dxa"/>
            <w:vAlign w:val="top"/>
          </w:tcPr>
          <w:p w14:paraId="20A8CE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680A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DD5E6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53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</w:t>
            </w:r>
          </w:p>
        </w:tc>
        <w:tc>
          <w:tcPr>
            <w:tcW w:w="677" w:type="dxa"/>
            <w:vAlign w:val="top"/>
          </w:tcPr>
          <w:p w14:paraId="422FC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C96F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BD3FD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7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1"/>
                <w:sz w:val="32"/>
                <w:szCs w:val="32"/>
              </w:rPr>
              <w:t>三</w:t>
            </w:r>
          </w:p>
        </w:tc>
        <w:tc>
          <w:tcPr>
            <w:tcW w:w="714" w:type="dxa"/>
            <w:vAlign w:val="top"/>
          </w:tcPr>
          <w:p w14:paraId="35DE6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F5A7B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848D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9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</w:t>
            </w:r>
          </w:p>
        </w:tc>
        <w:tc>
          <w:tcPr>
            <w:tcW w:w="715" w:type="dxa"/>
            <w:vAlign w:val="top"/>
          </w:tcPr>
          <w:p w14:paraId="39170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60C0B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A7A3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93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position w:val="1"/>
                <w:sz w:val="32"/>
                <w:szCs w:val="32"/>
              </w:rPr>
              <w:t>五</w:t>
            </w:r>
          </w:p>
        </w:tc>
        <w:tc>
          <w:tcPr>
            <w:tcW w:w="715" w:type="dxa"/>
            <w:vAlign w:val="top"/>
          </w:tcPr>
          <w:p w14:paraId="05924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BB4D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279F1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9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六</w:t>
            </w:r>
          </w:p>
        </w:tc>
        <w:tc>
          <w:tcPr>
            <w:tcW w:w="657" w:type="dxa"/>
            <w:textDirection w:val="tbRlV"/>
            <w:vAlign w:val="top"/>
          </w:tcPr>
          <w:p w14:paraId="22F17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560" w:lineRule="exact"/>
              <w:ind w:left="41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七</w:t>
            </w:r>
            <w:r>
              <w:rPr>
                <w:rFonts w:hint="eastAsia" w:ascii="仿宋" w:hAnsi="仿宋" w:eastAsia="仿宋" w:cs="仿宋"/>
                <w:spacing w:val="8"/>
                <w:position w:val="-5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八</w:t>
            </w:r>
          </w:p>
        </w:tc>
        <w:tc>
          <w:tcPr>
            <w:tcW w:w="733" w:type="dxa"/>
            <w:textDirection w:val="tbRlV"/>
            <w:vAlign w:val="top"/>
          </w:tcPr>
          <w:p w14:paraId="771DC3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560" w:lineRule="exact"/>
              <w:ind w:left="41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未获奖</w:t>
            </w:r>
          </w:p>
        </w:tc>
      </w:tr>
      <w:tr w14:paraId="3CB94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61" w:type="dxa"/>
            <w:vAlign w:val="top"/>
          </w:tcPr>
          <w:p w14:paraId="5891CE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国家级</w:t>
            </w:r>
          </w:p>
        </w:tc>
        <w:tc>
          <w:tcPr>
            <w:tcW w:w="714" w:type="dxa"/>
            <w:vAlign w:val="top"/>
          </w:tcPr>
          <w:p w14:paraId="06FB503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5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5.0</w:t>
            </w:r>
          </w:p>
        </w:tc>
        <w:tc>
          <w:tcPr>
            <w:tcW w:w="657" w:type="dxa"/>
            <w:vAlign w:val="top"/>
          </w:tcPr>
          <w:p w14:paraId="262B21A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4" w:line="560" w:lineRule="exact"/>
              <w:ind w:left="12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</w:rPr>
              <w:t>4.4</w:t>
            </w:r>
          </w:p>
        </w:tc>
        <w:tc>
          <w:tcPr>
            <w:tcW w:w="633" w:type="dxa"/>
            <w:vAlign w:val="top"/>
          </w:tcPr>
          <w:p w14:paraId="27B823F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1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</w:rPr>
              <w:t>4.0</w:t>
            </w:r>
          </w:p>
        </w:tc>
        <w:tc>
          <w:tcPr>
            <w:tcW w:w="677" w:type="dxa"/>
            <w:vAlign w:val="top"/>
          </w:tcPr>
          <w:p w14:paraId="6A1357A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4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3.6</w:t>
            </w:r>
          </w:p>
        </w:tc>
        <w:tc>
          <w:tcPr>
            <w:tcW w:w="714" w:type="dxa"/>
            <w:vAlign w:val="top"/>
          </w:tcPr>
          <w:p w14:paraId="0C2ED61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5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3.2</w:t>
            </w:r>
          </w:p>
        </w:tc>
        <w:tc>
          <w:tcPr>
            <w:tcW w:w="715" w:type="dxa"/>
            <w:vAlign w:val="top"/>
          </w:tcPr>
          <w:p w14:paraId="075DDC2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6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2.8</w:t>
            </w:r>
          </w:p>
        </w:tc>
        <w:tc>
          <w:tcPr>
            <w:tcW w:w="715" w:type="dxa"/>
            <w:vAlign w:val="top"/>
          </w:tcPr>
          <w:p w14:paraId="5BF48BA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66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2.4</w:t>
            </w:r>
          </w:p>
        </w:tc>
        <w:tc>
          <w:tcPr>
            <w:tcW w:w="657" w:type="dxa"/>
            <w:vAlign w:val="top"/>
          </w:tcPr>
          <w:p w14:paraId="3D2A526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43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2.0</w:t>
            </w:r>
          </w:p>
        </w:tc>
        <w:tc>
          <w:tcPr>
            <w:tcW w:w="733" w:type="dxa"/>
            <w:vAlign w:val="top"/>
          </w:tcPr>
          <w:p w14:paraId="471CF1E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7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1.0</w:t>
            </w:r>
          </w:p>
        </w:tc>
      </w:tr>
      <w:tr w14:paraId="182A3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61" w:type="dxa"/>
            <w:vAlign w:val="top"/>
          </w:tcPr>
          <w:p w14:paraId="40EECB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省级</w:t>
            </w:r>
          </w:p>
        </w:tc>
        <w:tc>
          <w:tcPr>
            <w:tcW w:w="714" w:type="dxa"/>
            <w:vAlign w:val="top"/>
          </w:tcPr>
          <w:p w14:paraId="7FC7ABE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5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3.0</w:t>
            </w:r>
          </w:p>
        </w:tc>
        <w:tc>
          <w:tcPr>
            <w:tcW w:w="657" w:type="dxa"/>
            <w:vAlign w:val="top"/>
          </w:tcPr>
          <w:p w14:paraId="01A7640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3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2.0</w:t>
            </w:r>
          </w:p>
        </w:tc>
        <w:tc>
          <w:tcPr>
            <w:tcW w:w="633" w:type="dxa"/>
            <w:vAlign w:val="top"/>
          </w:tcPr>
          <w:p w14:paraId="4D78AD3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3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1.6</w:t>
            </w:r>
          </w:p>
        </w:tc>
        <w:tc>
          <w:tcPr>
            <w:tcW w:w="677" w:type="dxa"/>
            <w:vAlign w:val="top"/>
          </w:tcPr>
          <w:p w14:paraId="25C64EB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49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1.4</w:t>
            </w:r>
          </w:p>
        </w:tc>
        <w:tc>
          <w:tcPr>
            <w:tcW w:w="714" w:type="dxa"/>
            <w:vAlign w:val="top"/>
          </w:tcPr>
          <w:p w14:paraId="6B4ED73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66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1.2</w:t>
            </w:r>
          </w:p>
        </w:tc>
        <w:tc>
          <w:tcPr>
            <w:tcW w:w="715" w:type="dxa"/>
            <w:vAlign w:val="top"/>
          </w:tcPr>
          <w:p w14:paraId="0F00938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6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1.0</w:t>
            </w:r>
          </w:p>
        </w:tc>
        <w:tc>
          <w:tcPr>
            <w:tcW w:w="715" w:type="dxa"/>
            <w:vAlign w:val="top"/>
          </w:tcPr>
          <w:p w14:paraId="69DE383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6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0.8</w:t>
            </w:r>
          </w:p>
        </w:tc>
        <w:tc>
          <w:tcPr>
            <w:tcW w:w="657" w:type="dxa"/>
            <w:vAlign w:val="top"/>
          </w:tcPr>
          <w:p w14:paraId="537BFDD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39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0.5</w:t>
            </w:r>
          </w:p>
        </w:tc>
        <w:tc>
          <w:tcPr>
            <w:tcW w:w="733" w:type="dxa"/>
            <w:vAlign w:val="top"/>
          </w:tcPr>
          <w:p w14:paraId="6CAD7B3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560" w:lineRule="exact"/>
              <w:ind w:left="16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0.3</w:t>
            </w:r>
          </w:p>
        </w:tc>
      </w:tr>
      <w:tr w14:paraId="7DECB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661" w:type="dxa"/>
            <w:vAlign w:val="top"/>
          </w:tcPr>
          <w:p w14:paraId="0BDCE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市、校级</w:t>
            </w:r>
          </w:p>
        </w:tc>
        <w:tc>
          <w:tcPr>
            <w:tcW w:w="714" w:type="dxa"/>
            <w:vAlign w:val="top"/>
          </w:tcPr>
          <w:p w14:paraId="77C0EF4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5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1.2</w:t>
            </w:r>
          </w:p>
        </w:tc>
        <w:tc>
          <w:tcPr>
            <w:tcW w:w="657" w:type="dxa"/>
            <w:vAlign w:val="top"/>
          </w:tcPr>
          <w:p w14:paraId="751CAF6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2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0.9</w:t>
            </w:r>
          </w:p>
        </w:tc>
        <w:tc>
          <w:tcPr>
            <w:tcW w:w="633" w:type="dxa"/>
            <w:vAlign w:val="top"/>
          </w:tcPr>
          <w:p w14:paraId="1BEBCD9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2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0.8</w:t>
            </w:r>
          </w:p>
        </w:tc>
        <w:tc>
          <w:tcPr>
            <w:tcW w:w="677" w:type="dxa"/>
            <w:vAlign w:val="top"/>
          </w:tcPr>
          <w:p w14:paraId="5CED19C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3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0.7</w:t>
            </w:r>
          </w:p>
        </w:tc>
        <w:tc>
          <w:tcPr>
            <w:tcW w:w="714" w:type="dxa"/>
            <w:vAlign w:val="top"/>
          </w:tcPr>
          <w:p w14:paraId="72908D9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5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0.6</w:t>
            </w:r>
          </w:p>
        </w:tc>
        <w:tc>
          <w:tcPr>
            <w:tcW w:w="715" w:type="dxa"/>
            <w:vAlign w:val="top"/>
          </w:tcPr>
          <w:p w14:paraId="57EECA8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5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0.5</w:t>
            </w:r>
          </w:p>
        </w:tc>
        <w:tc>
          <w:tcPr>
            <w:tcW w:w="715" w:type="dxa"/>
            <w:vAlign w:val="top"/>
          </w:tcPr>
          <w:p w14:paraId="5DA1588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6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0.4</w:t>
            </w:r>
          </w:p>
        </w:tc>
        <w:tc>
          <w:tcPr>
            <w:tcW w:w="657" w:type="dxa"/>
            <w:vAlign w:val="top"/>
          </w:tcPr>
          <w:p w14:paraId="78228DE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560" w:lineRule="exact"/>
              <w:ind w:left="139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0.3</w:t>
            </w:r>
          </w:p>
        </w:tc>
        <w:tc>
          <w:tcPr>
            <w:tcW w:w="733" w:type="dxa"/>
            <w:tcBorders>
              <w:tr2bl w:val="single" w:color="000000" w:sz="4" w:space="0"/>
            </w:tcBorders>
            <w:vAlign w:val="top"/>
          </w:tcPr>
          <w:p w14:paraId="7E0F8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D377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61" w:type="dxa"/>
            <w:vAlign w:val="top"/>
          </w:tcPr>
          <w:p w14:paraId="5CC40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院级</w:t>
            </w:r>
          </w:p>
        </w:tc>
        <w:tc>
          <w:tcPr>
            <w:tcW w:w="714" w:type="dxa"/>
            <w:vAlign w:val="top"/>
          </w:tcPr>
          <w:p w14:paraId="7BCFA9C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4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0.8</w:t>
            </w:r>
          </w:p>
        </w:tc>
        <w:tc>
          <w:tcPr>
            <w:tcW w:w="657" w:type="dxa"/>
            <w:vAlign w:val="top"/>
          </w:tcPr>
          <w:p w14:paraId="6F93613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2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0.7</w:t>
            </w:r>
          </w:p>
        </w:tc>
        <w:tc>
          <w:tcPr>
            <w:tcW w:w="633" w:type="dxa"/>
            <w:vAlign w:val="top"/>
          </w:tcPr>
          <w:p w14:paraId="1AC1C75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2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0.6</w:t>
            </w:r>
          </w:p>
        </w:tc>
        <w:tc>
          <w:tcPr>
            <w:tcW w:w="677" w:type="dxa"/>
            <w:vAlign w:val="top"/>
          </w:tcPr>
          <w:p w14:paraId="3C94677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3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0.5</w:t>
            </w:r>
          </w:p>
        </w:tc>
        <w:tc>
          <w:tcPr>
            <w:tcW w:w="714" w:type="dxa"/>
            <w:vAlign w:val="top"/>
          </w:tcPr>
          <w:p w14:paraId="4EC7843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5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0.4</w:t>
            </w:r>
          </w:p>
        </w:tc>
        <w:tc>
          <w:tcPr>
            <w:tcW w:w="715" w:type="dxa"/>
            <w:vAlign w:val="top"/>
          </w:tcPr>
          <w:p w14:paraId="036389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5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0.3</w:t>
            </w:r>
          </w:p>
        </w:tc>
        <w:tc>
          <w:tcPr>
            <w:tcW w:w="715" w:type="dxa"/>
            <w:vAlign w:val="top"/>
          </w:tcPr>
          <w:p w14:paraId="16F0F69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6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0.2</w:t>
            </w:r>
          </w:p>
        </w:tc>
        <w:tc>
          <w:tcPr>
            <w:tcW w:w="657" w:type="dxa"/>
            <w:vAlign w:val="top"/>
          </w:tcPr>
          <w:p w14:paraId="13B42B0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139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0.1</w:t>
            </w:r>
          </w:p>
        </w:tc>
        <w:tc>
          <w:tcPr>
            <w:tcW w:w="733" w:type="dxa"/>
            <w:tcBorders>
              <w:tr2bl w:val="single" w:color="000000" w:sz="4" w:space="0"/>
            </w:tcBorders>
            <w:vAlign w:val="top"/>
          </w:tcPr>
          <w:p w14:paraId="397A80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F5B47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spacing w:val="9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注：此类累加分最高限一般为3.0分；凡参加国家级以上体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育比赛，取得名次，最高分限可达5.0分。</w:t>
      </w:r>
    </w:p>
    <w:p w14:paraId="10C77B5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after="0" w:afterLines="50" w:line="560" w:lineRule="exact"/>
        <w:jc w:val="center"/>
        <w:textAlignment w:val="baseline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文艺活动、其它各类文体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加分标准一览表</w:t>
      </w:r>
    </w:p>
    <w:tbl>
      <w:tblPr>
        <w:tblStyle w:val="8"/>
        <w:tblW w:w="77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169"/>
        <w:gridCol w:w="1284"/>
        <w:gridCol w:w="1191"/>
        <w:gridCol w:w="1370"/>
        <w:gridCol w:w="1084"/>
      </w:tblGrid>
      <w:tr w14:paraId="2C1E5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699" w:type="dxa"/>
            <w:vAlign w:val="top"/>
          </w:tcPr>
          <w:p w14:paraId="42E6A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560" w:lineRule="exact"/>
              <w:ind w:left="74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192405</wp:posOffset>
                  </wp:positionV>
                  <wp:extent cx="1054100" cy="1219835"/>
                  <wp:effectExtent l="0" t="0" r="12700" b="14605"/>
                  <wp:wrapNone/>
                  <wp:docPr id="9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奖项</w:t>
            </w:r>
          </w:p>
          <w:p w14:paraId="72E2E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560" w:lineRule="exact"/>
              <w:ind w:left="21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加分标准</w:t>
            </w:r>
          </w:p>
          <w:p w14:paraId="53E8F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560" w:lineRule="exact"/>
              <w:ind w:left="10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级别</w:t>
            </w:r>
          </w:p>
        </w:tc>
        <w:tc>
          <w:tcPr>
            <w:tcW w:w="1169" w:type="dxa"/>
            <w:vAlign w:val="top"/>
          </w:tcPr>
          <w:p w14:paraId="31BB7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48DE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3F12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一等奖</w:t>
            </w:r>
          </w:p>
        </w:tc>
        <w:tc>
          <w:tcPr>
            <w:tcW w:w="1284" w:type="dxa"/>
            <w:vAlign w:val="top"/>
          </w:tcPr>
          <w:p w14:paraId="42064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AE2C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E133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二等奖</w:t>
            </w:r>
          </w:p>
        </w:tc>
        <w:tc>
          <w:tcPr>
            <w:tcW w:w="1191" w:type="dxa"/>
            <w:vAlign w:val="top"/>
          </w:tcPr>
          <w:p w14:paraId="297588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676DF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DA55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三等奖</w:t>
            </w:r>
          </w:p>
        </w:tc>
        <w:tc>
          <w:tcPr>
            <w:tcW w:w="1370" w:type="dxa"/>
            <w:vAlign w:val="top"/>
          </w:tcPr>
          <w:p w14:paraId="478E6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5808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A9190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优秀奖</w:t>
            </w:r>
          </w:p>
        </w:tc>
        <w:tc>
          <w:tcPr>
            <w:tcW w:w="1084" w:type="dxa"/>
            <w:vAlign w:val="top"/>
          </w:tcPr>
          <w:p w14:paraId="49062D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EA3F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3DC6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未获奖</w:t>
            </w:r>
          </w:p>
        </w:tc>
      </w:tr>
      <w:tr w14:paraId="0405E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99" w:type="dxa"/>
            <w:vAlign w:val="top"/>
          </w:tcPr>
          <w:p w14:paraId="772289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省级以上</w:t>
            </w:r>
          </w:p>
        </w:tc>
        <w:tc>
          <w:tcPr>
            <w:tcW w:w="1169" w:type="dxa"/>
            <w:vAlign w:val="top"/>
          </w:tcPr>
          <w:p w14:paraId="6BEAAA6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2.0</w:t>
            </w:r>
          </w:p>
        </w:tc>
        <w:tc>
          <w:tcPr>
            <w:tcW w:w="1284" w:type="dxa"/>
            <w:vAlign w:val="top"/>
          </w:tcPr>
          <w:p w14:paraId="6599740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1.5</w:t>
            </w:r>
          </w:p>
        </w:tc>
        <w:tc>
          <w:tcPr>
            <w:tcW w:w="1191" w:type="dxa"/>
            <w:vAlign w:val="top"/>
          </w:tcPr>
          <w:p w14:paraId="188CDC0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1.2</w:t>
            </w:r>
          </w:p>
        </w:tc>
        <w:tc>
          <w:tcPr>
            <w:tcW w:w="1370" w:type="dxa"/>
            <w:vAlign w:val="top"/>
          </w:tcPr>
          <w:p w14:paraId="7E99B9F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0.6</w:t>
            </w:r>
          </w:p>
        </w:tc>
        <w:tc>
          <w:tcPr>
            <w:tcW w:w="1084" w:type="dxa"/>
            <w:vAlign w:val="top"/>
          </w:tcPr>
          <w:p w14:paraId="0D03FAC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0.4</w:t>
            </w:r>
          </w:p>
        </w:tc>
      </w:tr>
      <w:tr w14:paraId="0C85A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99" w:type="dxa"/>
            <w:vAlign w:val="top"/>
          </w:tcPr>
          <w:p w14:paraId="50102E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市级</w:t>
            </w:r>
          </w:p>
        </w:tc>
        <w:tc>
          <w:tcPr>
            <w:tcW w:w="1169" w:type="dxa"/>
            <w:vAlign w:val="top"/>
          </w:tcPr>
          <w:p w14:paraId="15FD8D1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8"/>
                <w:sz w:val="32"/>
                <w:szCs w:val="32"/>
              </w:rPr>
              <w:t>1.0</w:t>
            </w:r>
          </w:p>
        </w:tc>
        <w:tc>
          <w:tcPr>
            <w:tcW w:w="1284" w:type="dxa"/>
            <w:vAlign w:val="top"/>
          </w:tcPr>
          <w:p w14:paraId="4844063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0.8</w:t>
            </w:r>
          </w:p>
        </w:tc>
        <w:tc>
          <w:tcPr>
            <w:tcW w:w="1191" w:type="dxa"/>
            <w:vAlign w:val="top"/>
          </w:tcPr>
          <w:p w14:paraId="1F802AD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0.6</w:t>
            </w:r>
          </w:p>
        </w:tc>
        <w:tc>
          <w:tcPr>
            <w:tcW w:w="1370" w:type="dxa"/>
            <w:vAlign w:val="top"/>
          </w:tcPr>
          <w:p w14:paraId="06C550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0.2</w:t>
            </w:r>
          </w:p>
        </w:tc>
        <w:tc>
          <w:tcPr>
            <w:tcW w:w="1084" w:type="dxa"/>
            <w:vAlign w:val="top"/>
          </w:tcPr>
          <w:p w14:paraId="647D176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0.1</w:t>
            </w:r>
          </w:p>
        </w:tc>
      </w:tr>
      <w:tr w14:paraId="19840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9" w:type="dxa"/>
            <w:vAlign w:val="top"/>
          </w:tcPr>
          <w:p w14:paraId="066ACA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校级</w:t>
            </w:r>
          </w:p>
        </w:tc>
        <w:tc>
          <w:tcPr>
            <w:tcW w:w="1169" w:type="dxa"/>
            <w:vAlign w:val="top"/>
          </w:tcPr>
          <w:p w14:paraId="2C47666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0.8</w:t>
            </w:r>
          </w:p>
        </w:tc>
        <w:tc>
          <w:tcPr>
            <w:tcW w:w="1284" w:type="dxa"/>
            <w:vAlign w:val="top"/>
          </w:tcPr>
          <w:p w14:paraId="17CED82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0.6</w:t>
            </w:r>
          </w:p>
        </w:tc>
        <w:tc>
          <w:tcPr>
            <w:tcW w:w="1191" w:type="dxa"/>
            <w:vAlign w:val="top"/>
          </w:tcPr>
          <w:p w14:paraId="585DCBE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0.4</w:t>
            </w:r>
          </w:p>
        </w:tc>
        <w:tc>
          <w:tcPr>
            <w:tcW w:w="1370" w:type="dxa"/>
            <w:vAlign w:val="top"/>
          </w:tcPr>
          <w:p w14:paraId="6B57743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0.2</w:t>
            </w:r>
          </w:p>
        </w:tc>
        <w:tc>
          <w:tcPr>
            <w:tcW w:w="1084" w:type="dxa"/>
            <w:vAlign w:val="top"/>
          </w:tcPr>
          <w:p w14:paraId="08B39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56515</wp:posOffset>
                  </wp:positionV>
                  <wp:extent cx="659765" cy="800735"/>
                  <wp:effectExtent l="0" t="0" r="10795" b="6985"/>
                  <wp:wrapNone/>
                  <wp:docPr id="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5269865</wp:posOffset>
                  </wp:positionV>
                  <wp:extent cx="901065" cy="461010"/>
                  <wp:effectExtent l="0" t="0" r="13335" b="11430"/>
                  <wp:wrapNone/>
                  <wp:docPr id="3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BAF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9" w:type="dxa"/>
            <w:vAlign w:val="top"/>
          </w:tcPr>
          <w:p w14:paraId="38C815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院级</w:t>
            </w:r>
          </w:p>
        </w:tc>
        <w:tc>
          <w:tcPr>
            <w:tcW w:w="1169" w:type="dxa"/>
            <w:vAlign w:val="top"/>
          </w:tcPr>
          <w:p w14:paraId="78F9A74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0.6</w:t>
            </w:r>
          </w:p>
        </w:tc>
        <w:tc>
          <w:tcPr>
            <w:tcW w:w="1284" w:type="dxa"/>
            <w:vAlign w:val="top"/>
          </w:tcPr>
          <w:p w14:paraId="4076646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0.4</w:t>
            </w:r>
          </w:p>
        </w:tc>
        <w:tc>
          <w:tcPr>
            <w:tcW w:w="1191" w:type="dxa"/>
            <w:vAlign w:val="top"/>
          </w:tcPr>
          <w:p w14:paraId="42D0096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0.2</w:t>
            </w:r>
          </w:p>
        </w:tc>
        <w:tc>
          <w:tcPr>
            <w:tcW w:w="1370" w:type="dxa"/>
            <w:vAlign w:val="top"/>
          </w:tcPr>
          <w:p w14:paraId="4DC4B10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0.1</w:t>
            </w:r>
          </w:p>
        </w:tc>
        <w:tc>
          <w:tcPr>
            <w:tcW w:w="1084" w:type="dxa"/>
            <w:vAlign w:val="top"/>
          </w:tcPr>
          <w:p w14:paraId="00969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4679315</wp:posOffset>
                  </wp:positionV>
                  <wp:extent cx="901065" cy="461010"/>
                  <wp:effectExtent l="0" t="0" r="13335" b="11430"/>
                  <wp:wrapNone/>
                  <wp:docPr id="10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39A55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60" w:lineRule="exact"/>
        <w:ind w:right="99" w:firstLine="67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注：文艺类累加分高限为3.0分。文艺活动及其他各类竞赛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含校园歌手、话剧、舞蹈、征文、辩论、演讲、朗诵等竞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赛活动，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以上未列举的比赛可参照执行。上述各类竞赛活动若以名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次评出，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则第一名按一等奖加分，第二、三名按二等奖加分，第四、五名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以后按三等奖加分。若设特等奖，则以同级一等奖加分标准×1.2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执行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，参与奖、入围奖则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以同级优秀奖加分标准执行。</w:t>
      </w:r>
    </w:p>
    <w:p w14:paraId="7EF4AE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60" w:lineRule="exact"/>
        <w:ind w:right="156" w:firstLine="67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2.参加文体各级各类技能等级测试和考获国家认定的正规发放的资格、技能证书，通过者参照同级二等奖标准加分。</w:t>
      </w:r>
    </w:p>
    <w:p w14:paraId="7A9C21A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firstLine="668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3.以上文体获奖省级以上，国家级的获奖按照省级加分标准</w:t>
      </w:r>
      <w:r>
        <w:rPr>
          <w:rFonts w:hint="eastAsia" w:ascii="仿宋" w:hAnsi="仿宋" w:eastAsia="仿宋" w:cs="仿宋"/>
          <w:spacing w:val="4"/>
          <w:sz w:val="32"/>
          <w:szCs w:val="32"/>
        </w:rPr>
        <w:t>×1.4执行；国家级以下的大区级获奖按照省级加分标准×1.2执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行。市级以上，省级以下的片区级获奖按照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市级加分标准×1.2执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行。</w:t>
      </w:r>
    </w:p>
    <w:p w14:paraId="77BB53B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firstLine="66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highlight w:val="none"/>
          <w:shd w:val="clear" w:color="auto" w:fill="auto"/>
          <w:lang w:val="en-US" w:eastAsia="zh-CN"/>
        </w:rPr>
        <w:t>4.“LSCAT”大赛为学校统一组织参赛报名的省级比赛，获奖名次降一级处理。普译奖全国大学生英语写作大赛和全国大学生英语阅读竞赛不加分。</w:t>
      </w:r>
    </w:p>
    <w:p w14:paraId="45C42B7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56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（四）操作技能</w:t>
      </w:r>
    </w:p>
    <w:p w14:paraId="0F12312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left="132" w:right="84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本项技能包括英语、计算机等方面的能力，通过</w:t>
      </w:r>
      <w:r>
        <w:rPr>
          <w:rFonts w:hint="eastAsia" w:ascii="仿宋" w:hAnsi="仿宋" w:eastAsia="仿宋" w:cs="仿宋"/>
          <w:sz w:val="32"/>
          <w:szCs w:val="32"/>
        </w:rPr>
        <w:t>CET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－4加1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分，通过</w:t>
      </w:r>
      <w:r>
        <w:rPr>
          <w:rFonts w:hint="eastAsia" w:ascii="仿宋" w:hAnsi="仿宋" w:eastAsia="仿宋" w:cs="仿宋"/>
          <w:sz w:val="32"/>
          <w:szCs w:val="32"/>
        </w:rPr>
        <w:t>CET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－6加2分；通过计算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机一级加0.5</w:t>
      </w:r>
      <w:r>
        <w:rPr>
          <w:rFonts w:hint="eastAsia" w:ascii="仿宋" w:hAnsi="仿宋" w:eastAsia="仿宋" w:cs="仿宋"/>
          <w:spacing w:val="3"/>
          <w:sz w:val="32"/>
          <w:szCs w:val="32"/>
          <w:highlight w:val="none"/>
        </w:rPr>
        <w:t>分，通过计算机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二级加1分，通过计算机三级加1.5分，通过计算</w:t>
      </w:r>
      <w:r>
        <w:rPr>
          <w:rFonts w:hint="eastAsia" w:ascii="仿宋" w:hAnsi="仿宋" w:eastAsia="仿宋" w:cs="仿宋"/>
          <w:spacing w:val="1"/>
          <w:sz w:val="32"/>
          <w:szCs w:val="32"/>
          <w:highlight w:val="none"/>
        </w:rPr>
        <w:t>机四级加2分。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其中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CET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等级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lang w:eastAsia="zh-CN"/>
        </w:rPr>
        <w:t>首次通过后若再次考取，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lang w:val="en-US" w:eastAsia="zh-CN"/>
        </w:rPr>
        <w:t>500分以上则可再次按照对应分数加分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。日语二级视同四级加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分，一级视同六级加分。</w:t>
      </w:r>
    </w:p>
    <w:p w14:paraId="022C4DF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ind w:firstLine="66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（1）英语类加分</w:t>
      </w:r>
    </w:p>
    <w:p w14:paraId="7D7BCCF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left="132" w:right="84" w:firstLine="420"/>
        <w:jc w:val="both"/>
        <w:textAlignment w:val="baseline"/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</w:rPr>
        <w:t>雅思、BEC、中高级口译证书的</w:t>
      </w:r>
      <w:r>
        <w:rPr>
          <w:rFonts w:hint="eastAsia" w:ascii="仿宋" w:hAnsi="仿宋" w:eastAsia="仿宋" w:cs="仿宋"/>
          <w:spacing w:val="10"/>
          <w:sz w:val="32"/>
          <w:szCs w:val="32"/>
          <w:highlight w:val="none"/>
          <w:lang w:val="en-US" w:eastAsia="zh-CN"/>
        </w:rPr>
        <w:t>加分</w:t>
      </w:r>
    </w:p>
    <w:p w14:paraId="611777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60" w:lineRule="exact"/>
        <w:ind w:left="430" w:leftChars="205" w:right="2384" w:firstLine="18" w:firstLineChars="6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雅思6.5分以上加2分；</w:t>
      </w:r>
    </w:p>
    <w:p w14:paraId="730735D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left="432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BEC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加分标准：中级加1.5分、高级加2分；</w:t>
      </w:r>
    </w:p>
    <w:p w14:paraId="138C388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left="426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获得中级口译证书（包括口试+笔试）加1.5分；</w:t>
      </w:r>
    </w:p>
    <w:p w14:paraId="2501BD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left="6" w:right="1064" w:firstLine="419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获得高级口译证书（包括口试+笔试）加2分。</w:t>
      </w:r>
    </w:p>
    <w:p w14:paraId="7219E2C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right="1064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口语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的加分</w:t>
      </w:r>
    </w:p>
    <w:p w14:paraId="444BCC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right="1064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CET-4、CET-6口语考试不加分；</w:t>
      </w:r>
    </w:p>
    <w:p w14:paraId="19FF0E6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60" w:lineRule="exact"/>
        <w:ind w:left="424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5"/>
          <w:sz w:val="32"/>
          <w:szCs w:val="32"/>
          <w:highlight w:val="none"/>
        </w:rPr>
        <w:t>江苏省英语口语水平等级考试中级及以上，加0.6分。</w:t>
      </w:r>
    </w:p>
    <w:p w14:paraId="033A047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ind w:firstLine="66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（2）资格证书类加分</w:t>
      </w:r>
    </w:p>
    <w:p w14:paraId="6FE4EA1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firstLine="66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  <w:lang w:eastAsia="zh-CN"/>
        </w:rPr>
        <w:t>.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资格证书时间参照测评学年，所有资格证书的加分比照校级二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shd w:val="clear" w:color="auto" w:fill="auto"/>
        </w:rPr>
        <w:t>等0.6加分，加分证书如报关员、报检员、人力资源证、营销师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、单证员、外贸会计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教师资格证、普通话证书（二乙以上）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等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  <w:lang w:val="en-US" w:eastAsia="zh-CN"/>
        </w:rPr>
        <w:t>与学院专业、学科方向相关的资格证书</w:t>
      </w:r>
      <w:r>
        <w:rPr>
          <w:rFonts w:hint="eastAsia" w:ascii="仿宋" w:hAnsi="仿宋" w:eastAsia="仿宋" w:cs="仿宋"/>
          <w:spacing w:val="9"/>
          <w:sz w:val="32"/>
          <w:szCs w:val="32"/>
          <w:highlight w:val="none"/>
          <w:shd w:val="clear" w:color="auto" w:fill="auto"/>
        </w:rPr>
        <w:t>，均需由国家各部委颁发。</w:t>
      </w:r>
    </w:p>
    <w:p w14:paraId="3E049FD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right="68" w:firstLine="696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14"/>
          <w:sz w:val="32"/>
          <w:szCs w:val="32"/>
          <w:highlight w:val="none"/>
          <w:shd w:val="clear" w:color="auto" w:fill="auto"/>
        </w:rPr>
        <w:t>2</w:t>
      </w:r>
      <w:r>
        <w:rPr>
          <w:rFonts w:hint="eastAsia" w:ascii="仿宋" w:hAnsi="仿宋" w:eastAsia="仿宋" w:cs="仿宋"/>
          <w:spacing w:val="14"/>
          <w:sz w:val="32"/>
          <w:szCs w:val="32"/>
          <w:highlight w:val="none"/>
          <w:shd w:val="clear" w:color="auto" w:fill="auto"/>
          <w:lang w:eastAsia="zh-CN"/>
        </w:rPr>
        <w:t>.</w:t>
      </w:r>
      <w:r>
        <w:rPr>
          <w:rFonts w:hint="eastAsia" w:ascii="仿宋" w:hAnsi="仿宋" w:eastAsia="仿宋" w:cs="仿宋"/>
          <w:spacing w:val="14"/>
          <w:sz w:val="32"/>
          <w:szCs w:val="32"/>
          <w:highlight w:val="none"/>
          <w:shd w:val="clear" w:color="auto" w:fill="auto"/>
        </w:rPr>
        <w:t>未发证书，但成绩合格，且达到相关中级</w:t>
      </w:r>
      <w:r>
        <w:rPr>
          <w:rFonts w:hint="eastAsia" w:ascii="仿宋" w:hAnsi="仿宋" w:eastAsia="仿宋" w:cs="仿宋"/>
          <w:spacing w:val="13"/>
          <w:sz w:val="32"/>
          <w:szCs w:val="32"/>
          <w:highlight w:val="none"/>
          <w:shd w:val="clear" w:color="auto" w:fill="auto"/>
        </w:rPr>
        <w:t>标准以上者，按照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0.6加分，如证券从业资格证。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GYB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SYB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auto"/>
        </w:rPr>
        <w:t>证书获得者在该学期加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shd w:val="clear" w:color="auto" w:fill="auto"/>
        </w:rPr>
        <w:t>0.6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  <w:t>分。注：所有资格证书涉及初级、中级、高级三个层次的，初级一律不加分，中级及以上的，加0.6分。</w:t>
      </w:r>
    </w:p>
    <w:p w14:paraId="4B24229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right="68" w:firstLine="648" w:firstLineChars="200"/>
        <w:jc w:val="both"/>
        <w:textAlignment w:val="baseline"/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  <w:t>3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eastAsia="zh-CN"/>
        </w:rPr>
        <w:t>.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  <w:t>机动车驾驶证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eastAsia="zh-CN"/>
        </w:rPr>
        <w:t>、普通话证书、献血证等与专业相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val="en-US" w:eastAsia="zh-CN"/>
        </w:rPr>
        <w:t>关度低的资格证书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  <w:t>不在加分范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val="en-US" w:eastAsia="zh-CN"/>
        </w:rPr>
        <w:t>畴。</w:t>
      </w:r>
    </w:p>
    <w:p w14:paraId="6A52AC1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right="68" w:firstLine="648" w:firstLineChars="20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  <w:lang w:eastAsia="zh-CN"/>
        </w:rPr>
        <w:t>.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  <w:shd w:val="clear" w:color="auto" w:fill="auto"/>
        </w:rPr>
        <w:t>其他对专业培养有意义的证</w:t>
      </w:r>
      <w:r>
        <w:rPr>
          <w:rFonts w:hint="eastAsia" w:ascii="仿宋" w:hAnsi="仿宋" w:eastAsia="仿宋" w:cs="仿宋"/>
          <w:spacing w:val="14"/>
          <w:sz w:val="32"/>
          <w:szCs w:val="32"/>
          <w:highlight w:val="none"/>
          <w:shd w:val="clear" w:color="auto" w:fill="auto"/>
        </w:rPr>
        <w:t>书，包括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CMA</w:t>
      </w:r>
      <w:r>
        <w:rPr>
          <w:rFonts w:hint="eastAsia" w:ascii="仿宋" w:hAnsi="仿宋" w:eastAsia="仿宋" w:cs="仿宋"/>
          <w:spacing w:val="14"/>
          <w:sz w:val="32"/>
          <w:szCs w:val="32"/>
          <w:highlight w:val="none"/>
          <w:shd w:val="clear" w:color="auto" w:fill="auto"/>
        </w:rPr>
        <w:t>等证书</w:t>
      </w:r>
      <w:r>
        <w:rPr>
          <w:rFonts w:hint="eastAsia" w:ascii="仿宋" w:hAnsi="仿宋" w:eastAsia="仿宋" w:cs="仿宋"/>
          <w:spacing w:val="13"/>
          <w:sz w:val="32"/>
          <w:szCs w:val="32"/>
          <w:highlight w:val="none"/>
          <w:shd w:val="clear" w:color="auto" w:fill="auto"/>
        </w:rPr>
        <w:t>加分，加分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</w:rPr>
        <w:t>参照证书加分。</w:t>
      </w:r>
    </w:p>
    <w:p w14:paraId="4F841D1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right="68" w:firstLine="664" w:firstLineChars="200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shd w:val="clear" w:color="auto" w:fill="auto"/>
          <w:lang w:val="en-US" w:eastAsia="zh-CN"/>
        </w:rPr>
        <w:t>5.作为参加比赛的前置条件获得的证书不加分。</w:t>
      </w:r>
    </w:p>
    <w:p w14:paraId="2672B09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left="43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（五）其它奖励加分</w:t>
      </w:r>
    </w:p>
    <w:p w14:paraId="19FBC97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2" w:right="68" w:firstLine="424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宣传（含新媒体）报道奖励：省级以上宣传媒体0.2－1.0分/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篇次，市、校级0.1－0.5分/篇次，综合测评认定小组根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据宣传报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道的级别、影响力认定加分；内容雷同文章取高限加分；两名作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者的稿件分别依得分的2/3、1/3给分；三名作者的稿件分别依得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分的1/2、1/3、1/6给分，其余以此类推；宣传</w:t>
      </w:r>
      <w:r>
        <w:rPr>
          <w:rFonts w:hint="eastAsia" w:ascii="仿宋" w:hAnsi="仿宋" w:eastAsia="仿宋" w:cs="仿宋"/>
          <w:spacing w:val="7"/>
          <w:sz w:val="32"/>
          <w:szCs w:val="32"/>
        </w:rPr>
        <w:t>作品获奖的依双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倍加分，本类累加分高限为2.0分。</w:t>
      </w:r>
    </w:p>
    <w:p w14:paraId="147BFC4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60" w:lineRule="exact"/>
        <w:ind w:left="426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宣传报道类补充说明：</w:t>
      </w:r>
    </w:p>
    <w:p w14:paraId="57C55D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5" w:line="560" w:lineRule="exact"/>
        <w:ind w:firstLine="66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在各级各类社团组织中担任外宣类等职务，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由于工作需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要发表的文章，不额外加分，校内学生组织学生稿件须有主管部门认定加分。学院新媒体平台作品按质量和数量情况，学院内讨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论认定加分。</w:t>
      </w:r>
    </w:p>
    <w:p w14:paraId="70E685C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after="0" w:afterLines="50" w:line="560" w:lineRule="exact"/>
        <w:ind w:right="57" w:firstLine="66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在有正式刊号且公开发表的校级刊物上</w:t>
      </w:r>
      <w:r>
        <w:rPr>
          <w:rFonts w:hint="eastAsia" w:ascii="仿宋" w:hAnsi="仿宋" w:eastAsia="仿宋" w:cs="仿宋"/>
          <w:spacing w:val="5"/>
          <w:sz w:val="32"/>
          <w:szCs w:val="32"/>
        </w:rPr>
        <w:t>（如：常州大学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校报）发表文章的，加0.2分/篇次。</w:t>
      </w:r>
    </w:p>
    <w:p w14:paraId="29BDE58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after="0" w:afterLines="50"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</w:rPr>
        <w:t>第五章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</w:rPr>
        <w:t>测评结果的使用</w:t>
      </w:r>
    </w:p>
    <w:p w14:paraId="00AE2B3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60" w:lineRule="exact"/>
        <w:ind w:firstLine="421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第十三条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测评结果作为学生奖学金评定的依据</w:t>
      </w:r>
      <w:r>
        <w:rPr>
          <w:rFonts w:hint="eastAsia" w:ascii="仿宋" w:hAnsi="仿宋" w:eastAsia="仿宋" w:cs="仿宋"/>
          <w:spacing w:val="9"/>
          <w:sz w:val="32"/>
          <w:szCs w:val="32"/>
        </w:rPr>
        <w:t>，并根据参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评人员年级专业为单位，按2%、3%、10%、20%的比例划定奖学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金等级。特等奖学金申请条件应符合智育排名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前15%，如未达到，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仅可获得一等奖学金。特等奖、一等奖、二等奖、三等奖分别为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每年4000元、2000元、800元、400元。单项奖的评比办法按附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表2进行，获单项奖人数的比例控制在20％</w:t>
      </w: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以内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。单项奖金额为</w:t>
      </w:r>
      <w:r>
        <w:rPr>
          <w:rFonts w:hint="eastAsia" w:ascii="仿宋" w:hAnsi="仿宋" w:eastAsia="仿宋" w:cs="仿宋"/>
          <w:spacing w:val="2"/>
          <w:sz w:val="32"/>
          <w:szCs w:val="32"/>
          <w:highlight w:val="none"/>
        </w:rPr>
        <w:t>每年200元。</w:t>
      </w:r>
    </w:p>
    <w:p w14:paraId="7A3A9EE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560" w:lineRule="exact"/>
        <w:ind w:left="5" w:right="103" w:firstLine="414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初评有必修课不及格获得二等以上奖学金的需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eastAsia="zh-CN"/>
        </w:rPr>
        <w:t>经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学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eastAsia="zh-CN"/>
        </w:rPr>
        <w:t>院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复评，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eastAsia="zh-CN"/>
        </w:rPr>
        <w:t>不及格课程的不及格率小于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val="en-US" w:eastAsia="zh-CN"/>
        </w:rPr>
        <w:t>30%进行奖学金降等处理。</w:t>
      </w:r>
    </w:p>
    <w:p w14:paraId="53A3079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25" w:right="56" w:firstLine="397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专业素质得分列专业年级前8%，按综合得分排列未获得二等以上奖学金者，可享受二等奖学金。</w:t>
      </w:r>
    </w:p>
    <w:p w14:paraId="04FF044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25" w:right="56" w:firstLine="397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>有二门及以上课程不及格的学生，不享受奖学金待遇。</w:t>
      </w:r>
    </w:p>
    <w:p w14:paraId="577D075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left="25" w:right="56" w:firstLine="397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highlight w:val="none"/>
          <w:lang w:eastAsia="zh-CN"/>
        </w:rPr>
        <w:t>奖学金实行分月打卡发放。学校奖学金与国家政府颁发的奖学金取高限不兼得。</w:t>
      </w:r>
    </w:p>
    <w:p w14:paraId="39332CE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left="421" w:right="527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第十四条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学院三好学生、优秀学生干部评定标准：</w:t>
      </w:r>
    </w:p>
    <w:p w14:paraId="772BDC2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560" w:lineRule="exact"/>
        <w:ind w:right="91" w:firstLine="42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测评结果列前10%，经学院考核后可授予“学院三好学生、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优秀学生干部”称号。</w:t>
      </w:r>
    </w:p>
    <w:p w14:paraId="687AB2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left="42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第十五条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学校三好学生、优秀学生干部的评定标准：</w:t>
      </w:r>
    </w:p>
    <w:p w14:paraId="07B30F9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1" w:right="53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测评结果列前3%，经学院推荐，学校批准后可授予“学校三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好学生、优秀学生干部”称号。</w:t>
      </w:r>
    </w:p>
    <w:p w14:paraId="4F9F5A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60" w:lineRule="exact"/>
        <w:ind w:left="4" w:right="53" w:firstLine="417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第十六条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校学生标兵、省和国家“三好学生、优秀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学生干</w:t>
      </w:r>
      <w:r>
        <w:rPr>
          <w:rFonts w:hint="eastAsia" w:ascii="仿宋" w:hAnsi="仿宋" w:eastAsia="仿宋" w:cs="仿宋"/>
          <w:spacing w:val="2"/>
          <w:sz w:val="32"/>
          <w:szCs w:val="32"/>
        </w:rPr>
        <w:t>部”评定标准：</w:t>
      </w:r>
    </w:p>
    <w:p w14:paraId="32C110D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after="0" w:afterLines="50" w:line="560" w:lineRule="exact"/>
        <w:ind w:left="0" w:right="57" w:firstLine="42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在学校三好、优干获得者基础上由各学院按当年实际情况推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荐，报学校审批。</w:t>
      </w:r>
    </w:p>
    <w:p w14:paraId="5362725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after="0" w:afterLines="50"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第六章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测评工作纪律</w:t>
      </w:r>
    </w:p>
    <w:p w14:paraId="5885B3D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60" w:lineRule="exact"/>
        <w:ind w:right="54" w:firstLine="42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第十七条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各基层班级必须严肃认真地对待测评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工作，必须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坚持实事求是和公正公平，避免片面性、随意性。既要防止打人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情分，又要防止走过场和形式主义。</w:t>
      </w:r>
    </w:p>
    <w:p w14:paraId="5A76207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560" w:lineRule="exact"/>
        <w:ind w:left="5" w:right="54" w:firstLine="416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第十八条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各班班长有责任收集并妥善保存本细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则要求的有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关测评依据，如因其主观原因造成上述资料缺失或损毁的，应免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除其所担任职务，并不得再任其他职务。</w:t>
      </w:r>
    </w:p>
    <w:p w14:paraId="1786EE0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after="0" w:afterLines="50" w:line="560" w:lineRule="exact"/>
        <w:ind w:left="0" w:firstLine="420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第十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条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对于在测评工作中发生的违纪情况，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有关部门将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予以严肃查处。对有关责任人员除进行批评教育外，情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节严重的，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给予行政纪律处分。</w:t>
      </w:r>
    </w:p>
    <w:p w14:paraId="0B498FF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after="0" w:afterLines="50" w:line="56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</w:rPr>
        <w:t>第七章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</w:rPr>
        <w:t>附则</w:t>
      </w:r>
    </w:p>
    <w:p w14:paraId="54F72F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本实施办法自颁布日起实施。</w:t>
      </w:r>
    </w:p>
    <w:p w14:paraId="5AFA41A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第二十一条本实施办法由商学院负责解释。</w:t>
      </w:r>
    </w:p>
    <w:p w14:paraId="330DB44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附表：</w:t>
      </w:r>
    </w:p>
    <w:p w14:paraId="06709B7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60" w:lineRule="exact"/>
        <w:ind w:left="43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常州大学商学院学生德育素质测评参考表</w:t>
      </w:r>
    </w:p>
    <w:p w14:paraId="3A85681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60" w:lineRule="exact"/>
        <w:ind w:left="425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2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常州大学商学院学生单项奖学金评比办法</w:t>
      </w:r>
    </w:p>
    <w:p w14:paraId="4BFDF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9D164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77CB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D9128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39C18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A8DDE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56771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EB8A07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附件1：</w:t>
      </w:r>
    </w:p>
    <w:p w14:paraId="4108D63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</w:p>
    <w:p w14:paraId="153136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常州大学商学院学生德育素质测评参考表</w:t>
      </w:r>
    </w:p>
    <w:p w14:paraId="25107C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86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409"/>
        <w:gridCol w:w="2"/>
        <w:gridCol w:w="3082"/>
        <w:gridCol w:w="27"/>
        <w:gridCol w:w="3425"/>
        <w:gridCol w:w="14"/>
        <w:gridCol w:w="982"/>
        <w:gridCol w:w="19"/>
        <w:gridCol w:w="638"/>
        <w:gridCol w:w="77"/>
      </w:tblGrid>
      <w:tr w14:paraId="3CBD8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A4293A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560" w:lineRule="exact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项</w:t>
            </w:r>
            <w:r>
              <w:rPr>
                <w:rFonts w:hint="eastAsia" w:ascii="仿宋" w:hAnsi="仿宋" w:eastAsia="仿宋" w:cs="仿宋"/>
                <w:spacing w:val="8"/>
                <w:position w:val="1"/>
                <w:sz w:val="32"/>
                <w:szCs w:val="32"/>
              </w:rPr>
              <w:t>目</w:t>
            </w:r>
          </w:p>
        </w:tc>
        <w:tc>
          <w:tcPr>
            <w:tcW w:w="3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6C72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3ABF8A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评价内容</w:t>
            </w:r>
          </w:p>
        </w:tc>
        <w:tc>
          <w:tcPr>
            <w:tcW w:w="34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EF6C5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094760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评价标准</w:t>
            </w:r>
          </w:p>
        </w:tc>
        <w:tc>
          <w:tcPr>
            <w:tcW w:w="982" w:type="dxa"/>
            <w:tcBorders>
              <w:left w:val="single" w:color="000000" w:sz="6" w:space="0"/>
            </w:tcBorders>
            <w:vAlign w:val="top"/>
          </w:tcPr>
          <w:p w14:paraId="1F096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6116E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347" w:leftChars="0"/>
              <w:jc w:val="both"/>
              <w:textAlignment w:val="baseline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满分</w:t>
            </w:r>
          </w:p>
        </w:tc>
        <w:tc>
          <w:tcPr>
            <w:tcW w:w="734" w:type="dxa"/>
            <w:gridSpan w:val="3"/>
            <w:textDirection w:val="tbRlV"/>
            <w:vAlign w:val="top"/>
          </w:tcPr>
          <w:p w14:paraId="76E18C1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560" w:lineRule="exact"/>
              <w:ind w:left="75" w:leftChars="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班级评议</w:t>
            </w:r>
          </w:p>
        </w:tc>
      </w:tr>
      <w:tr w14:paraId="50132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661B872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5A352A0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3A01C49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</w:p>
          <w:p w14:paraId="0902D2A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政治表现</w:t>
            </w:r>
          </w:p>
        </w:tc>
        <w:tc>
          <w:tcPr>
            <w:tcW w:w="30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33A22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C1E865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11" w:leftChars="0" w:right="52" w:rightChars="0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拥护中国共产党领导，努力学习马克思列宁主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义、毛泽东思想、中国特色社会主义理论体系，</w:t>
            </w:r>
            <w:r>
              <w:rPr>
                <w:rFonts w:hint="eastAsia" w:ascii="仿宋" w:hAnsi="仿宋" w:eastAsia="仿宋" w:cs="仿宋"/>
                <w:spacing w:val="16"/>
                <w:sz w:val="32"/>
                <w:szCs w:val="32"/>
              </w:rPr>
              <w:t>深入学习习近平总书记系列重要讲话精神和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治国理政新理念新思想新战略，坚定中国特色社会主义道路自信、理论自信、制度自信、文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化自信，树立中国特色社会主义共同理想</w:t>
            </w:r>
            <w:r>
              <w:rPr>
                <w:rFonts w:hint="eastAsia" w:ascii="仿宋" w:hAnsi="仿宋" w:eastAsia="仿宋" w:cs="仿宋"/>
                <w:color w:val="444444"/>
                <w:spacing w:val="9"/>
                <w:sz w:val="32"/>
                <w:szCs w:val="32"/>
              </w:rPr>
              <w:t>。</w:t>
            </w:r>
          </w:p>
        </w:tc>
        <w:tc>
          <w:tcPr>
            <w:tcW w:w="34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6C2681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560" w:lineRule="exact"/>
              <w:ind w:left="111" w:leftChars="0" w:right="104" w:rightChars="0" w:firstLine="3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坚持正确的政治立场；政治上进心强，能主动向党组织靠拢；服从组织安排，积极参加各项有关政治活动；关心时事政治，积极参加政治理论学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习。</w:t>
            </w:r>
          </w:p>
        </w:tc>
        <w:tc>
          <w:tcPr>
            <w:tcW w:w="982" w:type="dxa"/>
            <w:tcBorders>
              <w:left w:val="single" w:color="000000" w:sz="6" w:space="0"/>
            </w:tcBorders>
            <w:vAlign w:val="top"/>
          </w:tcPr>
          <w:p w14:paraId="3B22A2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B9EED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C65B20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23" w:left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</w:t>
            </w:r>
          </w:p>
        </w:tc>
        <w:tc>
          <w:tcPr>
            <w:tcW w:w="734" w:type="dxa"/>
            <w:gridSpan w:val="3"/>
            <w:vAlign w:val="top"/>
          </w:tcPr>
          <w:p w14:paraId="4377A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04D0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13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top"/>
          </w:tcPr>
          <w:p w14:paraId="782BC0B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ind w:left="940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30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509E31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11" w:right="3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1672C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60" w:lineRule="exact"/>
              <w:ind w:left="114" w:leftChars="0" w:right="104" w:rightChars="0" w:firstLine="1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不参加学校、学院统一组织的政治活动，理论学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习活动、讲座等，每次扣0.1分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highlight w:val="none"/>
              </w:rPr>
              <w:t>；有不当言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  <w:highlight w:val="none"/>
              </w:rPr>
              <w:t>论者扣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  <w:highlight w:val="none"/>
              </w:rPr>
              <w:t>分。</w:t>
            </w:r>
          </w:p>
        </w:tc>
        <w:tc>
          <w:tcPr>
            <w:tcW w:w="982" w:type="dxa"/>
            <w:tcBorders>
              <w:left w:val="single" w:color="000000" w:sz="6" w:space="0"/>
            </w:tcBorders>
            <w:vAlign w:val="top"/>
          </w:tcPr>
          <w:p w14:paraId="5F93D2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150E16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560" w:lineRule="exact"/>
              <w:ind w:left="116" w:leftChars="0" w:right="151" w:rightChars="0"/>
              <w:jc w:val="both"/>
              <w:textAlignment w:val="baseline"/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3（3起，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扣分制）</w:t>
            </w:r>
          </w:p>
        </w:tc>
        <w:tc>
          <w:tcPr>
            <w:tcW w:w="734" w:type="dxa"/>
            <w:gridSpan w:val="3"/>
            <w:vAlign w:val="top"/>
          </w:tcPr>
          <w:p w14:paraId="51A22E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5548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13" w:type="dxa"/>
            <w:gridSpan w:val="3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EAE53A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3E939A1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35205DA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320C8F8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道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德修养</w:t>
            </w:r>
          </w:p>
          <w:p w14:paraId="2EC64EF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ind w:firstLine="334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</w:tc>
        <w:tc>
          <w:tcPr>
            <w:tcW w:w="308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3EE0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61963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933FC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12105C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11" w:right="3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树立爱国主义思想，具有团结统一、爱好和平、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勤劳勇敢、自强不息的精神。注重思想道德修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养，自觉遵守社会公德，自尊自爱，尊敬师长，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关心集体，团结同学，乐于助人，诚实守信，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知行统一，举止文明，勤俭节约。</w:t>
            </w:r>
          </w:p>
        </w:tc>
        <w:tc>
          <w:tcPr>
            <w:tcW w:w="3466" w:type="dxa"/>
            <w:gridSpan w:val="3"/>
            <w:tcBorders>
              <w:top w:val="single" w:color="000000" w:sz="6" w:space="0"/>
            </w:tcBorders>
            <w:vAlign w:val="top"/>
          </w:tcPr>
          <w:p w14:paraId="655ABB3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560" w:lineRule="exact"/>
              <w:ind w:left="112" w:right="36" w:firstLine="3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不断加强和提高自己的道德修养；遵守社会公德；讲文明、讲礼貌，爱护公物，遵守社会公共秩序。</w:t>
            </w:r>
          </w:p>
        </w:tc>
        <w:tc>
          <w:tcPr>
            <w:tcW w:w="982" w:type="dxa"/>
            <w:vAlign w:val="top"/>
          </w:tcPr>
          <w:p w14:paraId="1FD2E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C28C30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2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</w:t>
            </w:r>
          </w:p>
        </w:tc>
        <w:tc>
          <w:tcPr>
            <w:tcW w:w="734" w:type="dxa"/>
            <w:gridSpan w:val="3"/>
            <w:vAlign w:val="top"/>
          </w:tcPr>
          <w:p w14:paraId="3C34B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CD68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413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 w14:paraId="592C9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2" w:type="dxa"/>
            <w:vMerge w:val="continue"/>
            <w:tcBorders>
              <w:top w:val="nil"/>
            </w:tcBorders>
            <w:vAlign w:val="top"/>
          </w:tcPr>
          <w:p w14:paraId="2654D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66" w:type="dxa"/>
            <w:gridSpan w:val="3"/>
            <w:vAlign w:val="top"/>
          </w:tcPr>
          <w:p w14:paraId="6480A9E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560" w:lineRule="exact"/>
              <w:ind w:left="111" w:right="65" w:firstLine="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highlight w:val="none"/>
                <w:shd w:val="clear" w:color="auto" w:fill="auto"/>
              </w:rPr>
              <w:t>参加校内组织的志愿者服务活动有记录的加0.1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highlight w:val="none"/>
                <w:shd w:val="clear" w:color="auto" w:fill="auto"/>
                <w:lang w:eastAsia="zh-CN"/>
              </w:rPr>
              <w:t>分，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highlight w:val="none"/>
                <w:shd w:val="clear" w:color="auto" w:fill="auto"/>
              </w:rPr>
              <w:t>参加志愿者服务活动个人受院级表彰加0.3分，校级表彰加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highlight w:val="none"/>
                <w:shd w:val="clear" w:color="auto" w:fill="auto"/>
              </w:rPr>
              <w:t>0.6分，市级表彰加0.8分，省级及以上表彰加1分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  <w:highlight w:val="none"/>
                <w:shd w:val="clear" w:color="auto" w:fill="auto"/>
              </w:rPr>
              <w:t>；有不文明或不道德行为者，每次扣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highlight w:val="none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highlight w:val="none"/>
              </w:rPr>
              <w:t>.2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分；破坏校内外公共物品或扰乱社会秩序者，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每次扣0.2分；发生同学间矛盾并且处理不当的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每次扣0.3分；打架或辱骂他人者酌情扣0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.3-0.5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分；不尊重师长者根据情况扣0.3-0.5分。</w:t>
            </w:r>
          </w:p>
        </w:tc>
        <w:tc>
          <w:tcPr>
            <w:tcW w:w="982" w:type="dxa"/>
            <w:vAlign w:val="top"/>
          </w:tcPr>
          <w:p w14:paraId="3C5B0F1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560" w:lineRule="exact"/>
              <w:ind w:left="187" w:right="104" w:hanging="188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</w:p>
          <w:p w14:paraId="3DCF364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560" w:lineRule="exact"/>
              <w:ind w:left="187" w:right="104" w:hanging="188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</w:p>
          <w:p w14:paraId="4918081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560" w:lineRule="exact"/>
              <w:ind w:left="187" w:right="104" w:hanging="188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</w:p>
          <w:p w14:paraId="229C8FC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560" w:lineRule="exact"/>
              <w:ind w:left="187" w:right="104" w:hanging="188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3（0起，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加分上限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32"/>
                <w:szCs w:val="32"/>
              </w:rPr>
              <w:t>3分，扣分</w:t>
            </w: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无下限）</w:t>
            </w:r>
          </w:p>
        </w:tc>
        <w:tc>
          <w:tcPr>
            <w:tcW w:w="734" w:type="dxa"/>
            <w:gridSpan w:val="3"/>
            <w:vAlign w:val="top"/>
          </w:tcPr>
          <w:p w14:paraId="73AD7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034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13" w:type="dxa"/>
            <w:gridSpan w:val="3"/>
            <w:vMerge w:val="restart"/>
            <w:tcBorders>
              <w:bottom w:val="nil"/>
            </w:tcBorders>
            <w:vAlign w:val="top"/>
          </w:tcPr>
          <w:p w14:paraId="647DD00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 xml:space="preserve"> </w:t>
            </w:r>
          </w:p>
          <w:p w14:paraId="463D5F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遵纪守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法</w:t>
            </w:r>
          </w:p>
        </w:tc>
        <w:tc>
          <w:tcPr>
            <w:tcW w:w="3082" w:type="dxa"/>
            <w:vMerge w:val="restart"/>
            <w:tcBorders>
              <w:bottom w:val="nil"/>
            </w:tcBorders>
            <w:vAlign w:val="top"/>
          </w:tcPr>
          <w:p w14:paraId="0B640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9331FB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11" w:right="96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增强法治观念，遵守宪法、法律、法规，遵守公民道德规范，遵守学校管理制度，具有良好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的道德品质和行为习惯，自觉维护公共秩序，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服从管理，勇于同各种违纪现象作斗争。</w:t>
            </w:r>
          </w:p>
        </w:tc>
        <w:tc>
          <w:tcPr>
            <w:tcW w:w="3466" w:type="dxa"/>
            <w:gridSpan w:val="3"/>
            <w:vAlign w:val="top"/>
          </w:tcPr>
          <w:p w14:paraId="08F3223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ind w:left="112" w:right="10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认真学习和遵守各项法律法规与学校的各项规章制度；接受各级管理人员的管理；能进行批评和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自我批评。</w:t>
            </w:r>
          </w:p>
        </w:tc>
        <w:tc>
          <w:tcPr>
            <w:tcW w:w="982" w:type="dxa"/>
            <w:vAlign w:val="top"/>
          </w:tcPr>
          <w:p w14:paraId="1CC72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9F14E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2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</w:t>
            </w:r>
          </w:p>
        </w:tc>
        <w:tc>
          <w:tcPr>
            <w:tcW w:w="734" w:type="dxa"/>
            <w:gridSpan w:val="3"/>
            <w:vAlign w:val="top"/>
          </w:tcPr>
          <w:p w14:paraId="4F948D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C560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413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 w14:paraId="11C46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2" w:type="dxa"/>
            <w:vMerge w:val="continue"/>
            <w:tcBorders>
              <w:top w:val="nil"/>
            </w:tcBorders>
            <w:vAlign w:val="top"/>
          </w:tcPr>
          <w:p w14:paraId="55D8F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66" w:type="dxa"/>
            <w:gridSpan w:val="3"/>
            <w:vAlign w:val="top"/>
          </w:tcPr>
          <w:p w14:paraId="7FC8AD2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ind w:left="115" w:right="104" w:hanging="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测评学年内受留校察看、记过、严重警告、警告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处分，分别扣10、8、5、3分，受学院通报批评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扣1分。</w:t>
            </w:r>
          </w:p>
        </w:tc>
        <w:tc>
          <w:tcPr>
            <w:tcW w:w="982" w:type="dxa"/>
            <w:vAlign w:val="top"/>
          </w:tcPr>
          <w:p w14:paraId="1703721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ind w:left="115" w:right="15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3（3起，</w:t>
            </w: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扣分制，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无下限）</w:t>
            </w:r>
          </w:p>
        </w:tc>
        <w:tc>
          <w:tcPr>
            <w:tcW w:w="734" w:type="dxa"/>
            <w:gridSpan w:val="3"/>
            <w:vAlign w:val="top"/>
          </w:tcPr>
          <w:p w14:paraId="48056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8986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413" w:type="dxa"/>
            <w:gridSpan w:val="3"/>
            <w:vAlign w:val="top"/>
          </w:tcPr>
          <w:p w14:paraId="26022AD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ind w:left="9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学习态</w:t>
            </w:r>
          </w:p>
        </w:tc>
        <w:tc>
          <w:tcPr>
            <w:tcW w:w="3082" w:type="dxa"/>
            <w:vAlign w:val="top"/>
          </w:tcPr>
          <w:p w14:paraId="065605A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560" w:lineRule="exact"/>
              <w:ind w:left="110" w:right="106" w:firstLine="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刻苦学习，勇于探索，积极实践，努力掌握现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代科学文化知识和专业技能。</w:t>
            </w:r>
          </w:p>
        </w:tc>
        <w:tc>
          <w:tcPr>
            <w:tcW w:w="3466" w:type="dxa"/>
            <w:gridSpan w:val="3"/>
            <w:vAlign w:val="top"/>
          </w:tcPr>
          <w:p w14:paraId="7696503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560" w:lineRule="exact"/>
              <w:ind w:left="112" w:right="10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积极参加学校、学院组织的各类学术活动、学术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讲座，按时上课，参加早晚自习。</w:t>
            </w:r>
          </w:p>
        </w:tc>
        <w:tc>
          <w:tcPr>
            <w:tcW w:w="982" w:type="dxa"/>
            <w:vAlign w:val="top"/>
          </w:tcPr>
          <w:p w14:paraId="17A42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C74D3F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2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</w:t>
            </w:r>
          </w:p>
        </w:tc>
        <w:tc>
          <w:tcPr>
            <w:tcW w:w="734" w:type="dxa"/>
            <w:gridSpan w:val="3"/>
            <w:vAlign w:val="top"/>
          </w:tcPr>
          <w:p w14:paraId="7B2B7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A911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77" w:type="dxa"/>
          <w:trHeight w:val="2518" w:hRule="atLeast"/>
        </w:trPr>
        <w:tc>
          <w:tcPr>
            <w:tcW w:w="409" w:type="dxa"/>
            <w:vAlign w:val="top"/>
          </w:tcPr>
          <w:p w14:paraId="2212830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11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度</w:t>
            </w:r>
          </w:p>
        </w:tc>
        <w:tc>
          <w:tcPr>
            <w:tcW w:w="3111" w:type="dxa"/>
            <w:gridSpan w:val="3"/>
            <w:vAlign w:val="top"/>
          </w:tcPr>
          <w:p w14:paraId="58E3F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5" w:type="dxa"/>
            <w:vAlign w:val="top"/>
          </w:tcPr>
          <w:p w14:paraId="7D0F0BB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ind w:left="112" w:right="104" w:firstLine="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无正当理由缺席学术活动或讲座的每次扣0.1分；有上课迟到早退，或不遵守课堂纪律的每次扣0.2分；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有旷课或故意扰乱课堂秩序的每次扣0.5分。（以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上均含早晚自习）</w:t>
            </w:r>
          </w:p>
        </w:tc>
        <w:tc>
          <w:tcPr>
            <w:tcW w:w="1015" w:type="dxa"/>
            <w:gridSpan w:val="3"/>
            <w:vAlign w:val="top"/>
          </w:tcPr>
          <w:p w14:paraId="4CCECA5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560" w:lineRule="exact"/>
              <w:ind w:left="114" w:right="104" w:firstLine="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3（0起，</w:t>
            </w:r>
            <w:r>
              <w:rPr>
                <w:rFonts w:hint="eastAsia" w:ascii="仿宋" w:hAnsi="仿宋" w:eastAsia="仿宋" w:cs="仿宋"/>
                <w:spacing w:val="23"/>
                <w:sz w:val="32"/>
                <w:szCs w:val="32"/>
              </w:rPr>
              <w:t>加分上限</w:t>
            </w:r>
            <w:r>
              <w:rPr>
                <w:rFonts w:hint="eastAsia" w:ascii="仿宋" w:hAnsi="仿宋" w:eastAsia="仿宋" w:cs="仿宋"/>
                <w:spacing w:val="-13"/>
                <w:sz w:val="32"/>
                <w:szCs w:val="32"/>
              </w:rPr>
              <w:t>3分，扣分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无下限）</w:t>
            </w:r>
          </w:p>
        </w:tc>
        <w:tc>
          <w:tcPr>
            <w:tcW w:w="638" w:type="dxa"/>
            <w:vAlign w:val="top"/>
          </w:tcPr>
          <w:p w14:paraId="37C013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60AF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77" w:type="dxa"/>
          <w:trHeight w:val="1057" w:hRule="atLeast"/>
        </w:trPr>
        <w:tc>
          <w:tcPr>
            <w:tcW w:w="409" w:type="dxa"/>
            <w:vMerge w:val="restart"/>
            <w:tcBorders>
              <w:bottom w:val="nil"/>
            </w:tcBorders>
            <w:vAlign w:val="top"/>
          </w:tcPr>
          <w:p w14:paraId="0A728CC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668A0B5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jc w:val="both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22C77C4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身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心健康</w:t>
            </w:r>
          </w:p>
        </w:tc>
        <w:tc>
          <w:tcPr>
            <w:tcW w:w="3111" w:type="dxa"/>
            <w:gridSpan w:val="3"/>
            <w:vMerge w:val="restart"/>
            <w:tcBorders>
              <w:bottom w:val="nil"/>
            </w:tcBorders>
            <w:vAlign w:val="top"/>
          </w:tcPr>
          <w:p w14:paraId="624B2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71FDE6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left="111" w:right="5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积极锻炼身体，增进身心健康，提高个人修养，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培养审美情趣。</w:t>
            </w:r>
          </w:p>
        </w:tc>
        <w:tc>
          <w:tcPr>
            <w:tcW w:w="3425" w:type="dxa"/>
            <w:vAlign w:val="top"/>
          </w:tcPr>
          <w:p w14:paraId="2F00AB6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112" w:right="15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积极参加校内外各项体育活动、心理健康活动，有自己的兴趣爱好和较高的审美情趣。</w:t>
            </w:r>
          </w:p>
        </w:tc>
        <w:tc>
          <w:tcPr>
            <w:tcW w:w="1015" w:type="dxa"/>
            <w:gridSpan w:val="3"/>
            <w:vAlign w:val="top"/>
          </w:tcPr>
          <w:p w14:paraId="644B2F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560" w:lineRule="exact"/>
              <w:ind w:left="12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16</w:t>
            </w:r>
          </w:p>
        </w:tc>
        <w:tc>
          <w:tcPr>
            <w:tcW w:w="638" w:type="dxa"/>
            <w:vAlign w:val="top"/>
          </w:tcPr>
          <w:p w14:paraId="6150B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49CF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77" w:type="dxa"/>
          <w:trHeight w:val="2832" w:hRule="atLeast"/>
        </w:trPr>
        <w:tc>
          <w:tcPr>
            <w:tcW w:w="409" w:type="dxa"/>
            <w:vMerge w:val="continue"/>
            <w:tcBorders>
              <w:top w:val="nil"/>
            </w:tcBorders>
            <w:textDirection w:val="tbRlV"/>
            <w:vAlign w:val="top"/>
          </w:tcPr>
          <w:p w14:paraId="2027E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top w:val="nil"/>
            </w:tcBorders>
            <w:vAlign w:val="top"/>
          </w:tcPr>
          <w:p w14:paraId="3565A9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3425" w:type="dxa"/>
            <w:vAlign w:val="top"/>
          </w:tcPr>
          <w:p w14:paraId="3CAAFB9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560" w:lineRule="exact"/>
              <w:ind w:left="110" w:right="104" w:firstLine="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  <w:lang w:eastAsia="zh-CN"/>
              </w:rPr>
              <w:t>测评学年内不归者、使用违章电器者、吸烟者被西太湖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校区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  <w:lang w:eastAsia="zh-CN"/>
              </w:rPr>
              <w:t>管委会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数据采集到的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  <w:lang w:eastAsia="zh-CN"/>
              </w:rPr>
              <w:t>，一次扣除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0.5分，以相关部门检查结果为考核依据。若造成严重后果的则取消参评资格。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</w:rPr>
              <w:t>有不健康的行为习惯且屡教不改者（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  <w:shd w:val="clear" w:color="auto" w:fill="auto"/>
              </w:rPr>
              <w:t>异性间行为密切、沉溺于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  <w:highlight w:val="none"/>
              </w:rPr>
              <w:t>电脑游戏等）酌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highlight w:val="none"/>
              </w:rPr>
              <w:t>情扣0.5-2分。</w:t>
            </w:r>
          </w:p>
        </w:tc>
        <w:tc>
          <w:tcPr>
            <w:tcW w:w="1015" w:type="dxa"/>
            <w:gridSpan w:val="3"/>
            <w:vAlign w:val="top"/>
          </w:tcPr>
          <w:p w14:paraId="60EFDB8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560" w:lineRule="exact"/>
              <w:ind w:left="116" w:right="15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3（3起，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扣分制）</w:t>
            </w:r>
          </w:p>
        </w:tc>
        <w:tc>
          <w:tcPr>
            <w:tcW w:w="638" w:type="dxa"/>
            <w:vAlign w:val="top"/>
          </w:tcPr>
          <w:p w14:paraId="7F372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DBAD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77" w:type="dxa"/>
          <w:trHeight w:val="1924" w:hRule="atLeast"/>
        </w:trPr>
        <w:tc>
          <w:tcPr>
            <w:tcW w:w="409" w:type="dxa"/>
            <w:vAlign w:val="top"/>
          </w:tcPr>
          <w:p w14:paraId="22E9DD6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其他加分</w:t>
            </w:r>
          </w:p>
        </w:tc>
        <w:tc>
          <w:tcPr>
            <w:tcW w:w="3111" w:type="dxa"/>
            <w:gridSpan w:val="3"/>
            <w:vAlign w:val="top"/>
          </w:tcPr>
          <w:p w14:paraId="0D335C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 w:firstLine="330" w:firstLineChars="100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</w:p>
          <w:p w14:paraId="3AAB705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560" w:lineRule="exact"/>
              <w:ind w:right="135"/>
              <w:jc w:val="both"/>
              <w:textAlignment w:val="baseline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学生在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>德育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其他方面受到表彰、奖励等</w:t>
            </w:r>
          </w:p>
        </w:tc>
        <w:tc>
          <w:tcPr>
            <w:tcW w:w="3425" w:type="dxa"/>
            <w:vAlign w:val="top"/>
          </w:tcPr>
          <w:p w14:paraId="046AE0B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560" w:lineRule="exact"/>
              <w:ind w:left="114" w:right="104" w:hanging="2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个人受校级表彰加1分，受市级表彰加1.5分，</w:t>
            </w: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受省级表彰加3分，受国家级表彰加5分；集体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受表彰，每个成员由学院根据具体情况，酌情加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分。</w:t>
            </w:r>
          </w:p>
        </w:tc>
        <w:tc>
          <w:tcPr>
            <w:tcW w:w="1015" w:type="dxa"/>
            <w:gridSpan w:val="3"/>
            <w:vAlign w:val="top"/>
          </w:tcPr>
          <w:p w14:paraId="02E72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DE17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D35F20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560" w:lineRule="exact"/>
              <w:ind w:left="116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638" w:type="dxa"/>
            <w:vAlign w:val="top"/>
          </w:tcPr>
          <w:p w14:paraId="403190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A0B01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position w:val="1"/>
          <w:sz w:val="32"/>
          <w:szCs w:val="32"/>
        </w:rPr>
        <w:t>注：实际计算可使用此表格的</w:t>
      </w:r>
      <w:r>
        <w:rPr>
          <w:rFonts w:hint="eastAsia" w:ascii="仿宋" w:hAnsi="仿宋" w:eastAsia="仿宋" w:cs="仿宋"/>
          <w:position w:val="1"/>
          <w:sz w:val="32"/>
          <w:szCs w:val="32"/>
        </w:rPr>
        <w:t>excel</w:t>
      </w:r>
      <w:r>
        <w:rPr>
          <w:rFonts w:hint="eastAsia" w:ascii="仿宋" w:hAnsi="仿宋" w:eastAsia="仿宋" w:cs="仿宋"/>
          <w:spacing w:val="2"/>
          <w:position w:val="1"/>
          <w:sz w:val="32"/>
          <w:szCs w:val="32"/>
        </w:rPr>
        <w:t>版。</w:t>
      </w:r>
    </w:p>
    <w:p w14:paraId="7BF8D9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D99C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EA459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BEDEA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6D658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B7411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B7D2C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3A7EC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1C286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258D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DF833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AB630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CB883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F5CBE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146B35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4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附表2：</w:t>
      </w:r>
    </w:p>
    <w:p w14:paraId="231FC85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108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常州大学商学院学生单项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奖学金评比办法</w:t>
      </w:r>
    </w:p>
    <w:p w14:paraId="1F997B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81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1"/>
        <w:gridCol w:w="5828"/>
      </w:tblGrid>
      <w:tr w14:paraId="6830D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331" w:type="dxa"/>
            <w:vAlign w:val="top"/>
          </w:tcPr>
          <w:p w14:paraId="1246C07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类别</w:t>
            </w:r>
          </w:p>
        </w:tc>
        <w:tc>
          <w:tcPr>
            <w:tcW w:w="5828" w:type="dxa"/>
            <w:vAlign w:val="top"/>
          </w:tcPr>
          <w:p w14:paraId="66A608E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评比标准</w:t>
            </w:r>
          </w:p>
        </w:tc>
      </w:tr>
      <w:tr w14:paraId="6FBAF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2331" w:type="dxa"/>
            <w:vAlign w:val="top"/>
          </w:tcPr>
          <w:p w14:paraId="60EB1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ED4C4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678294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道德先进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单项奖</w:t>
            </w:r>
          </w:p>
        </w:tc>
        <w:tc>
          <w:tcPr>
            <w:tcW w:w="5828" w:type="dxa"/>
            <w:vAlign w:val="top"/>
          </w:tcPr>
          <w:p w14:paraId="70EBC12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560" w:lineRule="exact"/>
              <w:ind w:left="112" w:right="107" w:firstLine="1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1．因见义勇为等好人好事被校级以上（不含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校级，下同）表彰或市级以上媒体报道，且智育成绩列专业年级前50%；</w:t>
            </w:r>
          </w:p>
          <w:p w14:paraId="671016C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560" w:lineRule="exact"/>
              <w:ind w:left="112" w:right="107" w:firstLine="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2．获校级以上优秀党员、优秀团干部等称号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并在校风建设中表现突出，且智育成绩列专业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年级前50%。</w:t>
            </w:r>
          </w:p>
        </w:tc>
      </w:tr>
      <w:tr w14:paraId="6ADE5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2331" w:type="dxa"/>
            <w:vAlign w:val="top"/>
          </w:tcPr>
          <w:p w14:paraId="7337D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967D38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both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  <w:p w14:paraId="714E00D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学业优秀单项奖</w:t>
            </w:r>
          </w:p>
        </w:tc>
        <w:tc>
          <w:tcPr>
            <w:tcW w:w="5828" w:type="dxa"/>
            <w:vAlign w:val="top"/>
          </w:tcPr>
          <w:p w14:paraId="058C16F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560" w:lineRule="exact"/>
              <w:ind w:left="112" w:right="109" w:firstLine="1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1．智育成绩列本专业年级前30%，且未获得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三等（含三等）以上奖学金者；</w:t>
            </w:r>
          </w:p>
          <w:p w14:paraId="1868993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111" w:right="107" w:firstLine="3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2．获得市级学习竞赛奖项，且智育成绩列专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业年级前50%；</w:t>
            </w:r>
          </w:p>
          <w:p w14:paraId="1F655B7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560" w:lineRule="exact"/>
              <w:ind w:left="111" w:right="107" w:firstLine="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3．获得省级学习竞赛奖项，且智育成绩列专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业年级前70%。</w:t>
            </w:r>
          </w:p>
        </w:tc>
      </w:tr>
      <w:tr w14:paraId="73F88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2331" w:type="dxa"/>
            <w:vAlign w:val="top"/>
          </w:tcPr>
          <w:p w14:paraId="1E8AC3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3FAE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639B5D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154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6612A6B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154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文化艺术活动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单项奖</w:t>
            </w:r>
          </w:p>
        </w:tc>
        <w:tc>
          <w:tcPr>
            <w:tcW w:w="5828" w:type="dxa"/>
            <w:vAlign w:val="top"/>
          </w:tcPr>
          <w:p w14:paraId="017FA6F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560" w:lineRule="exact"/>
              <w:ind w:left="116" w:right="107" w:firstLine="1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1．获得市级文化艺术活动奖项，且智育成绩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列专业年级前50%；</w:t>
            </w:r>
          </w:p>
          <w:p w14:paraId="206BD9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115" w:right="107" w:hanging="1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2．获得省级文化艺术活动奖项，且智育成绩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列专业年级前60%；</w:t>
            </w:r>
          </w:p>
          <w:p w14:paraId="74FED64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116" w:right="10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3．在校报上发表除简讯、消息外的文章5篇</w:t>
            </w: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以上或在市级以上报刊发表2篇以上文章、且</w:t>
            </w: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智育成绩列本专业年级前40%。</w:t>
            </w:r>
          </w:p>
        </w:tc>
      </w:tr>
      <w:tr w14:paraId="06D00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2331" w:type="dxa"/>
            <w:vAlign w:val="top"/>
          </w:tcPr>
          <w:p w14:paraId="1E14D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CDD9A2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1FB43A4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5B6CC33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科技发明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单项奖</w:t>
            </w:r>
          </w:p>
        </w:tc>
        <w:tc>
          <w:tcPr>
            <w:tcW w:w="5828" w:type="dxa"/>
            <w:vAlign w:val="top"/>
          </w:tcPr>
          <w:p w14:paraId="3A7633C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560" w:lineRule="exact"/>
              <w:ind w:left="113" w:right="107" w:firstLine="13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1．获市级科技制作、发明竞赛奖项，且智育</w:t>
            </w:r>
            <w:r>
              <w:rPr>
                <w:rFonts w:hint="eastAsia" w:ascii="仿宋" w:hAnsi="仿宋" w:eastAsia="仿宋" w:cs="仿宋"/>
                <w:spacing w:val="12"/>
                <w:sz w:val="32"/>
                <w:szCs w:val="32"/>
              </w:rPr>
              <w:t>成绩列本专业年级前50%;</w:t>
            </w:r>
          </w:p>
          <w:p w14:paraId="4B990F3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113" w:right="10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2．获省级科技制作、发明竞赛奖项，且智育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成绩列本专业年级前70％。</w:t>
            </w:r>
          </w:p>
        </w:tc>
      </w:tr>
      <w:tr w14:paraId="5F18E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2331" w:type="dxa"/>
            <w:vAlign w:val="top"/>
          </w:tcPr>
          <w:p w14:paraId="3410DB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1BB0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2D1C1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创新创业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单项奖</w:t>
            </w:r>
          </w:p>
        </w:tc>
        <w:tc>
          <w:tcPr>
            <w:tcW w:w="5828" w:type="dxa"/>
            <w:vAlign w:val="top"/>
          </w:tcPr>
          <w:p w14:paraId="0854742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560" w:lineRule="exact"/>
              <w:ind w:left="112" w:right="199" w:firstLine="15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获大学生科技创新等竞赛市级以上奖项，</w:t>
            </w: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>且智育成绩列本专业年级前70%;</w:t>
            </w:r>
          </w:p>
          <w:p w14:paraId="6664CCE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560" w:lineRule="exact"/>
              <w:ind w:left="111" w:right="109" w:firstLine="3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2.独立或作为主要负责人创建公司，或创业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项目在市级以上获得奖项，且智育成绩列本专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业年级前50%;</w:t>
            </w:r>
          </w:p>
        </w:tc>
      </w:tr>
      <w:tr w14:paraId="1EDB5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2331" w:type="dxa"/>
            <w:vAlign w:val="top"/>
          </w:tcPr>
          <w:p w14:paraId="616A899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08B76A5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</w:p>
          <w:p w14:paraId="7D955E5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right="363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体育优秀</w:t>
            </w: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单项奖</w:t>
            </w:r>
          </w:p>
        </w:tc>
        <w:tc>
          <w:tcPr>
            <w:tcW w:w="5828" w:type="dxa"/>
            <w:vAlign w:val="top"/>
          </w:tcPr>
          <w:p w14:paraId="2E9E5C5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560" w:lineRule="exact"/>
              <w:ind w:left="127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1．获省级以上比赛名次者；</w:t>
            </w:r>
          </w:p>
          <w:p w14:paraId="44D0A8D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4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2．获苏南分会、协作区比赛前8名；</w:t>
            </w:r>
          </w:p>
          <w:p w14:paraId="3D33427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111" w:right="107" w:firstLine="5"/>
              <w:jc w:val="both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3．获常州市比赛前3名，且智育成绩列本专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业年级前80%;</w:t>
            </w:r>
          </w:p>
          <w:p w14:paraId="1892404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560" w:lineRule="exact"/>
              <w:ind w:left="111" w:right="109" w:firstLine="3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4．获常州市比赛前4-8名，且智育成绩列本</w:t>
            </w: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专业年级前60%;</w:t>
            </w:r>
          </w:p>
          <w:p w14:paraId="342F664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560" w:lineRule="exact"/>
              <w:ind w:left="111" w:right="109" w:firstLine="3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5．对于集体项目，获得常州市比赛前2名或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市级以上比赛名次的主力队员。</w:t>
            </w:r>
          </w:p>
        </w:tc>
      </w:tr>
    </w:tbl>
    <w:p w14:paraId="1169A7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E4F99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560" w:lineRule="exact"/>
        <w:ind w:left="26" w:firstLine="418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注：1．单项奖评比与普通奖学金评比同步，如满足评比标准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之一，由学生本人申请，学院审核，学校学生处核准后统一发放。</w:t>
      </w:r>
    </w:p>
    <w:p w14:paraId="1FBBFDC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560" w:lineRule="exact"/>
        <w:ind w:left="28" w:right="71" w:firstLine="41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2．单项奖可兼得，但不能超过2项。获得三等以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上奖学金的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学生最多只能兼得一项。获单项奖人数比例控制在本专业年级的</w:t>
      </w:r>
      <w:r>
        <w:rPr>
          <w:rFonts w:hint="eastAsia" w:ascii="仿宋" w:hAnsi="仿宋" w:eastAsia="仿宋" w:cs="仿宋"/>
          <w:spacing w:val="4"/>
          <w:sz w:val="32"/>
          <w:szCs w:val="32"/>
        </w:rPr>
        <w:t>20％以内。</w:t>
      </w:r>
    </w:p>
    <w:p w14:paraId="314AE23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47"/>
        <w:jc w:val="both"/>
        <w:textAlignment w:val="baseline"/>
        <w:rPr>
          <w:rFonts w:hint="eastAsia" w:ascii="仿宋" w:hAnsi="仿宋" w:eastAsia="仿宋" w:cs="仿宋"/>
          <w:spacing w:val="9"/>
          <w:position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9"/>
          <w:position w:val="1"/>
          <w:sz w:val="32"/>
          <w:szCs w:val="32"/>
        </w:rPr>
        <w:t>3．单项奖每项200元/年</w:t>
      </w:r>
      <w:r>
        <w:rPr>
          <w:rFonts w:hint="eastAsia" w:ascii="仿宋" w:hAnsi="仿宋" w:eastAsia="仿宋" w:cs="仿宋"/>
          <w:spacing w:val="9"/>
          <w:position w:val="1"/>
          <w:sz w:val="32"/>
          <w:szCs w:val="32"/>
          <w:lang w:eastAsia="zh-CN"/>
        </w:rPr>
        <w:t>。</w:t>
      </w:r>
    </w:p>
    <w:p w14:paraId="6377AB4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47"/>
        <w:jc w:val="right"/>
        <w:textAlignment w:val="baseline"/>
        <w:rPr>
          <w:rFonts w:hint="eastAsia" w:ascii="仿宋" w:hAnsi="仿宋" w:eastAsia="仿宋" w:cs="仿宋"/>
          <w:spacing w:val="9"/>
          <w:position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9"/>
          <w:position w:val="1"/>
          <w:sz w:val="32"/>
          <w:szCs w:val="32"/>
          <w:lang w:eastAsia="zh-CN"/>
        </w:rPr>
        <w:t>常州大学商学院</w:t>
      </w:r>
    </w:p>
    <w:p w14:paraId="773E57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47"/>
        <w:jc w:val="right"/>
        <w:textAlignment w:val="baseline"/>
        <w:rPr>
          <w:rFonts w:hint="default" w:ascii="仿宋" w:hAnsi="仿宋" w:eastAsia="仿宋" w:cs="仿宋"/>
          <w:spacing w:val="9"/>
          <w:positio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position w:val="1"/>
          <w:sz w:val="32"/>
          <w:szCs w:val="32"/>
          <w:lang w:val="en-US" w:eastAsia="zh-CN"/>
        </w:rPr>
        <w:t>2025年1月1日</w:t>
      </w:r>
    </w:p>
    <w:p w14:paraId="4189D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default"/>
      <w:pgSz w:w="11906" w:h="16839"/>
      <w:pgMar w:top="400" w:right="1785" w:bottom="113" w:left="178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5DBE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ViN2MwMzY3ODQ2NjllMzQxMTQ1OGI3ZjcwZTc1MDYifQ=="/>
  </w:docVars>
  <w:rsids>
    <w:rsidRoot w:val="00000000"/>
    <w:rsid w:val="00211371"/>
    <w:rsid w:val="008B0536"/>
    <w:rsid w:val="00B201B5"/>
    <w:rsid w:val="03ED1984"/>
    <w:rsid w:val="048116A6"/>
    <w:rsid w:val="05530F3F"/>
    <w:rsid w:val="06EA569F"/>
    <w:rsid w:val="079F3753"/>
    <w:rsid w:val="09E057D1"/>
    <w:rsid w:val="0A23066B"/>
    <w:rsid w:val="0C322DE7"/>
    <w:rsid w:val="0C341CF9"/>
    <w:rsid w:val="0C8E2094"/>
    <w:rsid w:val="10357AE2"/>
    <w:rsid w:val="12AF0CEE"/>
    <w:rsid w:val="16564F98"/>
    <w:rsid w:val="17DC7FF6"/>
    <w:rsid w:val="187D53EA"/>
    <w:rsid w:val="18D40E27"/>
    <w:rsid w:val="1CF110A5"/>
    <w:rsid w:val="1D5E306C"/>
    <w:rsid w:val="1D827590"/>
    <w:rsid w:val="1FDC6637"/>
    <w:rsid w:val="20D03F61"/>
    <w:rsid w:val="21C67E02"/>
    <w:rsid w:val="21DD5F15"/>
    <w:rsid w:val="224006D5"/>
    <w:rsid w:val="23C12B22"/>
    <w:rsid w:val="242E6F38"/>
    <w:rsid w:val="26086C3B"/>
    <w:rsid w:val="26B67006"/>
    <w:rsid w:val="27534ECC"/>
    <w:rsid w:val="2A235C1F"/>
    <w:rsid w:val="2A8C05B7"/>
    <w:rsid w:val="2D315AFA"/>
    <w:rsid w:val="2E642E7C"/>
    <w:rsid w:val="2EBF1AC9"/>
    <w:rsid w:val="2F9A360E"/>
    <w:rsid w:val="2FD14541"/>
    <w:rsid w:val="305A05DC"/>
    <w:rsid w:val="314D615B"/>
    <w:rsid w:val="32A17A2C"/>
    <w:rsid w:val="33907B5E"/>
    <w:rsid w:val="34545812"/>
    <w:rsid w:val="34CF6B76"/>
    <w:rsid w:val="3A795E69"/>
    <w:rsid w:val="3A877DD7"/>
    <w:rsid w:val="3C5F6A31"/>
    <w:rsid w:val="3CD071C8"/>
    <w:rsid w:val="3E65476A"/>
    <w:rsid w:val="3EDD66E7"/>
    <w:rsid w:val="402F0229"/>
    <w:rsid w:val="45C43891"/>
    <w:rsid w:val="46FF32EA"/>
    <w:rsid w:val="477E63AD"/>
    <w:rsid w:val="47FA31CE"/>
    <w:rsid w:val="48580F04"/>
    <w:rsid w:val="488E7488"/>
    <w:rsid w:val="49553696"/>
    <w:rsid w:val="4A480BC5"/>
    <w:rsid w:val="513D7D76"/>
    <w:rsid w:val="51646D99"/>
    <w:rsid w:val="519B5423"/>
    <w:rsid w:val="56AF5666"/>
    <w:rsid w:val="56C8194B"/>
    <w:rsid w:val="571A2845"/>
    <w:rsid w:val="573945F7"/>
    <w:rsid w:val="57415EC9"/>
    <w:rsid w:val="595B4CF8"/>
    <w:rsid w:val="59B57FAE"/>
    <w:rsid w:val="606F6DCB"/>
    <w:rsid w:val="61C17A24"/>
    <w:rsid w:val="629F2C68"/>
    <w:rsid w:val="63457EDB"/>
    <w:rsid w:val="67766033"/>
    <w:rsid w:val="6A132A85"/>
    <w:rsid w:val="6B447870"/>
    <w:rsid w:val="6E1A357B"/>
    <w:rsid w:val="6FB54EAA"/>
    <w:rsid w:val="6FE27182"/>
    <w:rsid w:val="7007479E"/>
    <w:rsid w:val="720F6228"/>
    <w:rsid w:val="73A319B5"/>
    <w:rsid w:val="7438738B"/>
    <w:rsid w:val="766E5C13"/>
    <w:rsid w:val="79982AEA"/>
    <w:rsid w:val="7B247F05"/>
    <w:rsid w:val="7B735A7A"/>
    <w:rsid w:val="7CF03072"/>
    <w:rsid w:val="7D3F20B7"/>
    <w:rsid w:val="7DCF4ABD"/>
    <w:rsid w:val="7F2A46A1"/>
    <w:rsid w:val="7FF16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3410</Words>
  <Characters>3504</Characters>
  <TotalTime>17</TotalTime>
  <ScaleCrop>false</ScaleCrop>
  <LinksUpToDate>false</LinksUpToDate>
  <CharactersWithSpaces>3520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2023-10-08T15:16:00Z</dcterms:created>
  <dc:creator>Windows User</dc:creator>
  <cp:lastModifiedBy>lenovo</cp:lastModifiedBy>
  <cp:lastPrinted>2025-01-02T02:42:00Z</cp:lastPrinted>
  <dcterms:modified xsi:type="dcterms:W3CDTF">2025-09-02T07:58:52Z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2024-09-24T13:36:04Z</vt:filetime>
  </property>
  <property fmtid="{D5CDD505-2E9C-101B-9397-08002B2CF9AE}" pid="4" name="KSOProductBuildVer">
    <vt:lpwstr>2052-12.1.0.21915</vt:lpwstr>
  </property>
  <property fmtid="{D5CDD505-2E9C-101B-9397-08002B2CF9AE}" pid="5" name="ICV">
    <vt:lpwstr>4F2BF59F27D8433AAF7BA1ED426160BB_13</vt:lpwstr>
  </property>
  <property fmtid="{D5CDD505-2E9C-101B-9397-08002B2CF9AE}" pid="6" name="KSOTemplateDocerSaveRecord">
    <vt:lpwstr>eyJoZGlkIjoiNTA5Mzg3ZDI2OWE5NjMxMjVmZjAzN2FlZWNiM2NiOWQifQ==</vt:lpwstr>
  </property>
</Properties>
</file>